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B102F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JMMK</w:t>
      </w:r>
      <w:r w:rsidR="003E62D9">
        <w:rPr>
          <w:rFonts w:ascii="Times New Roman" w:hAnsi="Times New Roman" w:cs="Times New Roman"/>
        </w:rPr>
        <w:t xml:space="preserve"> Közösségi Ház</w:t>
      </w:r>
    </w:p>
    <w:p w:rsidR="00323497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2040 Budaörs, </w:t>
      </w:r>
      <w:r w:rsidR="00B102F2">
        <w:rPr>
          <w:rFonts w:ascii="Times New Roman" w:hAnsi="Times New Roman" w:cs="Times New Roman"/>
        </w:rPr>
        <w:t>Lévai</w:t>
      </w:r>
      <w:r w:rsidR="00D44CF9">
        <w:rPr>
          <w:rFonts w:ascii="Times New Roman" w:hAnsi="Times New Roman" w:cs="Times New Roman"/>
        </w:rPr>
        <w:t xml:space="preserve"> utca </w:t>
      </w:r>
      <w:r w:rsidR="00B102F2">
        <w:rPr>
          <w:rFonts w:ascii="Times New Roman" w:hAnsi="Times New Roman" w:cs="Times New Roman"/>
        </w:rPr>
        <w:t>34</w:t>
      </w:r>
      <w:r w:rsidR="004A7728">
        <w:rPr>
          <w:rFonts w:ascii="Times New Roman" w:hAnsi="Times New Roman" w:cs="Times New Roman"/>
        </w:rPr>
        <w:t>.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március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61912" w:rsidRDefault="009138E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="001E7A9D"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7652054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Vezetői összefoglaló</w:t>
            </w:r>
            <w:r w:rsidR="00D619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5" w:history="1">
            <w:r w:rsidR="00D61912" w:rsidRPr="008C63EC">
              <w:rPr>
                <w:rStyle w:val="Hiperhivatkozs"/>
                <w:noProof/>
              </w:rPr>
              <w:t>1.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Az épület/épületegyüttes alapadatai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_Toc477652055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6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6" w:history="1">
            <w:r w:rsidR="00D61912" w:rsidRPr="008C63EC">
              <w:rPr>
                <w:rStyle w:val="Hiperhivatkozs"/>
                <w:noProof/>
              </w:rPr>
              <w:t>2.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Energiamegtakarítási intézkedési lehetőségek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_Toc477652056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7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7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Beruházást nem igénylő beavatkozások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_Toc477652057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8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8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2.2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Minimális ráfordítást igénylő beavatkozások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_Toc477652058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8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9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2.3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Beruházást igénylő intézkedések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_Toc477652059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9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0" w:history="1">
            <w:r w:rsidR="00D61912" w:rsidRPr="008C63EC">
              <w:rPr>
                <w:rStyle w:val="Hiperhivatkozs"/>
                <w:noProof/>
              </w:rPr>
              <w:t>3.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Megvalósított intézkedések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_Toc477652060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10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1" w:history="1">
            <w:r w:rsidR="00D61912" w:rsidRPr="008C63EC">
              <w:rPr>
                <w:rStyle w:val="Hiperhivatkozs"/>
                <w:noProof/>
              </w:rPr>
              <w:t>4.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Megvalósítandó intézkedések meghatározása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_Toc477652061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10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D61912" w:rsidRDefault="00B102F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2" w:history="1">
            <w:r w:rsidR="00D61912" w:rsidRPr="008C63EC">
              <w:rPr>
                <w:rStyle w:val="Hiperhivatkozs"/>
                <w:noProof/>
              </w:rPr>
              <w:t>5.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A végrehajtás nyomon követése</w:t>
            </w:r>
            <w:r w:rsidR="00D61912">
              <w:rPr>
                <w:noProof/>
                <w:webHidden/>
              </w:rPr>
              <w:tab/>
            </w:r>
            <w:r w:rsidR="009138EA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_Toc477652062 \h </w:instrText>
            </w:r>
            <w:r w:rsidR="009138EA">
              <w:rPr>
                <w:noProof/>
                <w:webHidden/>
              </w:rPr>
            </w:r>
            <w:r w:rsidR="009138EA">
              <w:rPr>
                <w:noProof/>
                <w:webHidden/>
              </w:rPr>
              <w:fldChar w:fldCharType="separate"/>
            </w:r>
            <w:r w:rsidR="00275B2F">
              <w:rPr>
                <w:noProof/>
                <w:webHidden/>
              </w:rPr>
              <w:t>13</w:t>
            </w:r>
            <w:r w:rsidR="009138EA">
              <w:rPr>
                <w:noProof/>
                <w:webHidden/>
              </w:rPr>
              <w:fldChar w:fldCharType="end"/>
            </w:r>
          </w:hyperlink>
        </w:p>
        <w:p w:rsidR="0031066B" w:rsidRPr="00390549" w:rsidRDefault="009138EA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1" w:name="_Toc477652054"/>
      <w:r w:rsidRPr="00390549">
        <w:rPr>
          <w:rFonts w:ascii="Times New Roman" w:hAnsi="Times New Roman" w:cs="Times New Roman"/>
        </w:rPr>
        <w:t>Vezetői összefoglaló</w:t>
      </w:r>
      <w:bookmarkEnd w:id="1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2407BE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</w:t>
      </w:r>
      <w:r w:rsidR="002407BE">
        <w:rPr>
          <w:rFonts w:ascii="Times New Roman" w:hAnsi="Times New Roman" w:cs="Times New Roman"/>
        </w:rPr>
        <w:t>energiamegtakarítási intézkedési terv készítése során az intézmények rendelkezésre álló energiafogyasztási adatai, a korábbi évek beruházásai, valamint a helyszíni bejárások során összegyűjtött adatok kerültek feldolgozásra.</w:t>
      </w:r>
    </w:p>
    <w:p w:rsidR="002407BE" w:rsidRDefault="002407BE" w:rsidP="00390549">
      <w:pPr>
        <w:ind w:left="0"/>
        <w:rPr>
          <w:rFonts w:ascii="Times New Roman" w:hAnsi="Times New Roman" w:cs="Times New Roman"/>
        </w:rPr>
      </w:pPr>
    </w:p>
    <w:p w:rsidR="006F2AF2" w:rsidRDefault="002407BE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begyűjtött adatok alapján elmondható, hogy </w:t>
      </w:r>
      <w:r w:rsidR="006F2AF2">
        <w:rPr>
          <w:rFonts w:ascii="Times New Roman" w:hAnsi="Times New Roman" w:cs="Times New Roman"/>
        </w:rPr>
        <w:t>energia megtakarítást eredményező feladatok</w:t>
      </w:r>
      <w:r>
        <w:rPr>
          <w:rFonts w:ascii="Times New Roman" w:hAnsi="Times New Roman" w:cs="Times New Roman"/>
        </w:rPr>
        <w:t xml:space="preserve"> </w:t>
      </w:r>
      <w:r w:rsidR="006F2AF2">
        <w:rPr>
          <w:rFonts w:ascii="Times New Roman" w:hAnsi="Times New Roman" w:cs="Times New Roman"/>
        </w:rPr>
        <w:t xml:space="preserve">hatékony elvégzéséhez </w:t>
      </w:r>
      <w:r>
        <w:rPr>
          <w:rFonts w:ascii="Times New Roman" w:hAnsi="Times New Roman" w:cs="Times New Roman"/>
        </w:rPr>
        <w:t>mindenképpen szükséges az intézmények energetikai auditálása</w:t>
      </w:r>
      <w:r w:rsidR="006F2AF2">
        <w:rPr>
          <w:rFonts w:ascii="Times New Roman" w:hAnsi="Times New Roman" w:cs="Times New Roman"/>
        </w:rPr>
        <w:t>, valamint az intézményekre vonatkozó adatok rendszeres gyűjtésére és kontrollálására</w:t>
      </w:r>
      <w:r w:rsidR="003D2B52">
        <w:rPr>
          <w:rFonts w:ascii="Times New Roman" w:hAnsi="Times New Roman" w:cs="Times New Roman"/>
        </w:rPr>
        <w:t>,</w:t>
      </w:r>
      <w:r w:rsidR="006F2AF2">
        <w:rPr>
          <w:rFonts w:ascii="Times New Roman" w:hAnsi="Times New Roman" w:cs="Times New Roman"/>
        </w:rPr>
        <w:t xml:space="preserve"> energetikus végzettséggel rendelkező szakember által.</w:t>
      </w:r>
    </w:p>
    <w:p w:rsidR="006F2AF2" w:rsidRDefault="006F2AF2" w:rsidP="00390549">
      <w:pPr>
        <w:ind w:left="0"/>
        <w:rPr>
          <w:rFonts w:ascii="Times New Roman" w:hAnsi="Times New Roman" w:cs="Times New Roman"/>
        </w:rPr>
      </w:pPr>
    </w:p>
    <w:p w:rsidR="00CF101E" w:rsidRDefault="006F2AF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01E">
        <w:rPr>
          <w:rFonts w:ascii="Times New Roman" w:hAnsi="Times New Roman" w:cs="Times New Roman"/>
        </w:rPr>
        <w:t>A felmérés végzése során jelentős gondot okozott, hogy az intézményekre vonatkozó adatok nem egy helyen, hanem különböző szervezeti egységeknél, esetleg az intézménynél voltak megtalálhatók.</w:t>
      </w:r>
    </w:p>
    <w:p w:rsidR="00CF101E" w:rsidRDefault="00CF101E" w:rsidP="00390549">
      <w:pPr>
        <w:ind w:left="0"/>
        <w:rPr>
          <w:rFonts w:ascii="Times New Roman" w:hAnsi="Times New Roman" w:cs="Times New Roman"/>
        </w:rPr>
      </w:pPr>
    </w:p>
    <w:p w:rsidR="00CF101E" w:rsidRDefault="00964E1A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Figyelembe véve, hogy az intézkedési terv készítésre kötelezett intézmények többsége oktatási-nevelési intézmény, ezért az energiamegtakarítási lehetőségek közül kiemelt szerep jut a szemléletformálásnak, mely során nem csak az intézményeknél érhető el energia megtakarítás.</w:t>
      </w:r>
    </w:p>
    <w:p w:rsidR="00964E1A" w:rsidRDefault="00964E1A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964E1A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</w:t>
      </w:r>
      <w:r w:rsidR="00545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éven belül kerülhetnek megvalósításra, és az intézmény éves energiafogyasztásának 7-10 %-os megtakarítást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beavatkozások rendszerezése s</w:t>
      </w:r>
      <w:r w:rsidR="002110F5">
        <w:rPr>
          <w:rFonts w:ascii="Times New Roman" w:hAnsi="Times New Roman" w:cs="Times New Roman"/>
        </w:rPr>
        <w:t>orán az alábbiak kerültek megállapításra: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Erősségek: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 Város Önkormányzatának elkötelezettsége a Fenntarthatóság mellett, a Fenntartható Energia Cselekvési Tervben foglaltak folyamatos végrehajtása. A korábbi években szerzett tapasztalatok, mind a beruházások (intézmény-felújítások), mind a pályázatok (KMOP-3.3.3.) terén.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Gyengeségek:</w:t>
      </w:r>
    </w:p>
    <w:p w:rsidR="002110F5" w:rsidRPr="00EC4262" w:rsidRDefault="00EC426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energetikai adatok több szervezeti egységnél kerülnek begyűjtésre, szétválik az üzemeltetése, az intézmény-felújítás és az energia-beszerzés. A szervezeti egységek nem érik el közvetlenül a másik egység által tárolt adatok, illetve nincs információjuk a másik szervezeti egységnél rendelkezésre álló adatokról. Az energia-megtakarítási beavatkozásokat hatékonyan irányító tudó</w:t>
      </w:r>
      <w:r w:rsidR="009C41BB">
        <w:rPr>
          <w:rFonts w:ascii="Times New Roman" w:hAnsi="Times New Roman" w:cs="Times New Roman"/>
        </w:rPr>
        <w:t xml:space="preserve"> energetikus</w:t>
      </w:r>
      <w:r>
        <w:rPr>
          <w:rFonts w:ascii="Times New Roman" w:hAnsi="Times New Roman" w:cs="Times New Roman"/>
        </w:rPr>
        <w:t xml:space="preserve"> végzettséggel rendelkező szakember hiánya</w:t>
      </w:r>
      <w:r w:rsidR="009C41BB">
        <w:rPr>
          <w:rFonts w:ascii="Times New Roman" w:hAnsi="Times New Roman" w:cs="Times New Roman"/>
        </w:rPr>
        <w:t>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Lehetőségek: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energia-megtakarítást eredményező, valamint a megújuló energia felhasználását támogató pályázati források elérése. Egységes épületfelügyeleti rendszer kiépítése.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Fenyegetések/veszélyek: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Egységes épületfelügyeleti rendszer hiányában az azonnali beavatkozási igénylő feladatok elmaradása. A jelentős energia megtakarítást eredményező beruházások elmaradása forráshiány miatt.</w:t>
      </w: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5422D0" w:rsidRPr="00390549" w:rsidTr="005E4589">
        <w:trPr>
          <w:trHeight w:val="105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 korábbi beruházások során szerzett szakmai tapasztalatok.</w:t>
            </w:r>
            <w:r w:rsidR="00964E1A">
              <w:rPr>
                <w:rFonts w:ascii="Times New Roman" w:hAnsi="Times New Roman" w:cs="Times New Roman"/>
              </w:rPr>
              <w:t xml:space="preserve"> A fenntarthatóság iránti elkötelezettség.</w:t>
            </w:r>
            <w:r w:rsidR="00545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C7">
              <w:rPr>
                <w:rFonts w:ascii="Times New Roman" w:hAnsi="Times New Roman" w:cs="Times New Roman"/>
              </w:rPr>
              <w:t>SEAP-ban</w:t>
            </w:r>
            <w:proofErr w:type="spellEnd"/>
            <w:r w:rsidR="005451C7">
              <w:rPr>
                <w:rFonts w:ascii="Times New Roman" w:hAnsi="Times New Roman" w:cs="Times New Roman"/>
              </w:rPr>
              <w:t xml:space="preserve"> foglaltak végrehajtása.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393262" w:rsidP="00393262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Az energetikai adatok nem egy helyen való gyűjtése. A szervezeti felépítésből adódó információ-áramlási problémák. Energetikus hiánya.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5E4589">
        <w:trPr>
          <w:trHeight w:val="11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9C41BB" w:rsidRPr="009C41BB" w:rsidRDefault="00393262" w:rsidP="009C41BB">
            <w:pPr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Energiamegtakarítási és megújuló energiák alkalmazását támogat</w:t>
            </w:r>
            <w:r w:rsidR="009C41BB">
              <w:rPr>
                <w:rFonts w:ascii="Times New Roman" w:hAnsi="Times New Roman" w:cs="Times New Roman"/>
              </w:rPr>
              <w:t>ó pályázati források elnyerése. Egységes épületfelügyeleti rendszer kiépítése.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Egységes épületfelügyeleti rendszer hiánya. A beruházások megvalósításához szükséges források hiánya.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FA48A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5E4589" w:rsidRPr="00E92CE3" w:rsidTr="005E4589">
        <w:trPr>
          <w:jc w:val="center"/>
        </w:trPr>
        <w:tc>
          <w:tcPr>
            <w:tcW w:w="248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102F2" w:rsidRPr="00390549" w:rsidTr="005E4589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Default="00B102F2" w:rsidP="00B102F2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5E4589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szünetekben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a</w:t>
            </w:r>
            <w:proofErr w:type="gramEnd"/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használati meleg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Default="00B102F2" w:rsidP="00B102F2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5E4589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Táv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5E4589">
        <w:trPr>
          <w:jc w:val="center"/>
        </w:trPr>
        <w:tc>
          <w:tcPr>
            <w:tcW w:w="2482" w:type="pct"/>
          </w:tcPr>
          <w:p w:rsidR="00B102F2" w:rsidRPr="00720AFA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B102F2" w:rsidRPr="00720AFA" w:rsidRDefault="00B102F2" w:rsidP="00B102F2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5E4589">
        <w:trPr>
          <w:jc w:val="center"/>
        </w:trPr>
        <w:tc>
          <w:tcPr>
            <w:tcW w:w="2482" w:type="pct"/>
          </w:tcPr>
          <w:p w:rsidR="00B102F2" w:rsidRPr="00720AFA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B102F2" w:rsidRPr="00720AFA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5E4589" w:rsidRPr="008D6A66" w:rsidRDefault="005E4589">
      <w:pPr>
        <w:spacing w:after="200" w:line="276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CE4173" w:rsidRPr="000714FE" w:rsidTr="00CE4173">
        <w:trPr>
          <w:jc w:val="center"/>
        </w:trPr>
        <w:tc>
          <w:tcPr>
            <w:tcW w:w="2539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tanúsítványok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elkészíttetése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</w:t>
            </w:r>
            <w:r>
              <w:rPr>
                <w:rFonts w:ascii="Times New Roman" w:hAnsi="Times New Roman"/>
                <w:i/>
                <w:szCs w:val="24"/>
              </w:rPr>
              <w:t>ó kefe felszerelése, ajtócsukó. Passzítások évenkénti elvégzése.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14" w:type="pct"/>
          </w:tcPr>
          <w:p w:rsidR="00B102F2" w:rsidRPr="005275F1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5275F1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CB0A49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CB0A49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r>
              <w:rPr>
                <w:rFonts w:ascii="Times New Roman" w:hAnsi="Times New Roman"/>
                <w:i/>
                <w:szCs w:val="24"/>
              </w:rPr>
              <w:t>törekvés (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pl.</w:t>
            </w:r>
            <w:r w:rsidRPr="00682191">
              <w:rPr>
                <w:rFonts w:ascii="Times New Roman" w:hAnsi="Times New Roman"/>
                <w:i/>
                <w:szCs w:val="24"/>
              </w:rPr>
              <w:t>monitor</w:t>
            </w:r>
            <w:proofErr w:type="spellEnd"/>
            <w:r w:rsidRPr="00682191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B102F2" w:rsidRPr="00390549" w:rsidTr="00CE4173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682191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 .</w:t>
            </w:r>
            <w:proofErr w:type="gramEnd"/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6"/>
        <w:gridCol w:w="2697"/>
        <w:gridCol w:w="1170"/>
        <w:gridCol w:w="1525"/>
      </w:tblGrid>
      <w:tr w:rsidR="00FA48A9" w:rsidRPr="00390549" w:rsidTr="00E255A4">
        <w:trPr>
          <w:jc w:val="center"/>
        </w:trPr>
        <w:tc>
          <w:tcPr>
            <w:tcW w:w="2097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Beruházással járó intézkedések</w:t>
            </w:r>
          </w:p>
        </w:tc>
        <w:tc>
          <w:tcPr>
            <w:tcW w:w="1452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 xml:space="preserve">éves 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  <w:tc>
          <w:tcPr>
            <w:tcW w:w="630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Határidő</w:t>
            </w:r>
          </w:p>
        </w:tc>
        <w:tc>
          <w:tcPr>
            <w:tcW w:w="821" w:type="pct"/>
          </w:tcPr>
          <w:p w:rsidR="00FA48A9" w:rsidRPr="00CE4173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E62D9" w:rsidRPr="00390549" w:rsidTr="00E255A4">
        <w:trPr>
          <w:trHeight w:val="591"/>
          <w:jc w:val="center"/>
        </w:trPr>
        <w:tc>
          <w:tcPr>
            <w:tcW w:w="2097" w:type="pct"/>
          </w:tcPr>
          <w:p w:rsidR="003E62D9" w:rsidRDefault="003E62D9" w:rsidP="003E62D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1452" w:type="pct"/>
          </w:tcPr>
          <w:p w:rsidR="003E62D9" w:rsidRDefault="003E62D9" w:rsidP="003E62D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630" w:type="pct"/>
          </w:tcPr>
          <w:p w:rsidR="003E62D9" w:rsidRDefault="003E62D9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pct"/>
          </w:tcPr>
          <w:p w:rsidR="003E62D9" w:rsidRDefault="003E62D9" w:rsidP="00686A1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3E62D9" w:rsidRPr="00390549" w:rsidTr="00E255A4">
        <w:trPr>
          <w:trHeight w:val="591"/>
          <w:jc w:val="center"/>
        </w:trPr>
        <w:tc>
          <w:tcPr>
            <w:tcW w:w="2097" w:type="pct"/>
          </w:tcPr>
          <w:p w:rsidR="003E62D9" w:rsidRDefault="003E62D9" w:rsidP="003E62D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3E62D9" w:rsidRPr="00390549" w:rsidRDefault="003E62D9" w:rsidP="003E62D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1452" w:type="pct"/>
          </w:tcPr>
          <w:p w:rsidR="003E62D9" w:rsidRPr="00390549" w:rsidRDefault="003E62D9" w:rsidP="003E62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630" w:type="pct"/>
          </w:tcPr>
          <w:p w:rsidR="003E62D9" w:rsidRDefault="003E62D9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1" w:type="pct"/>
          </w:tcPr>
          <w:p w:rsidR="003E62D9" w:rsidRDefault="003E62D9" w:rsidP="00686A1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54"/>
        <w:gridCol w:w="3934"/>
      </w:tblGrid>
      <w:tr w:rsidR="00FA48A9" w:rsidRPr="00390549" w:rsidTr="00B102F2">
        <w:trPr>
          <w:trHeight w:val="555"/>
          <w:jc w:val="center"/>
        </w:trPr>
        <w:tc>
          <w:tcPr>
            <w:tcW w:w="2882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Forrás esetében </w:t>
            </w:r>
            <w:r w:rsidR="005616E4" w:rsidRPr="00CE4173">
              <w:rPr>
                <w:rFonts w:ascii="Times New Roman" w:hAnsi="Times New Roman" w:cs="Times New Roman"/>
                <w:b/>
                <w:i/>
              </w:rPr>
              <w:t>(pályázat, támogatás)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 megvalósítható beruházással járó intézkedések</w:t>
            </w:r>
          </w:p>
        </w:tc>
        <w:tc>
          <w:tcPr>
            <w:tcW w:w="2118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B102F2" w:rsidRPr="000D3E7F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2,3 </w:t>
            </w:r>
          </w:p>
          <w:p w:rsidR="00B102F2" w:rsidRPr="00800B7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102F2" w:rsidRPr="006A1FBC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2118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B102F2" w:rsidRPr="005067D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B102F2" w:rsidRPr="005067D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102F2" w:rsidRPr="00390549" w:rsidTr="00C77B91">
        <w:trPr>
          <w:jc w:val="center"/>
        </w:trPr>
        <w:tc>
          <w:tcPr>
            <w:tcW w:w="288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2118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B102F2" w:rsidRPr="007037AA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FA48A9" w:rsidRPr="00390549" w:rsidRDefault="00FA48A9" w:rsidP="00FA48A9">
      <w:pPr>
        <w:ind w:left="0"/>
        <w:rPr>
          <w:rFonts w:ascii="Times New Roman" w:hAnsi="Times New Roman" w:cs="Times New Roman"/>
        </w:rPr>
      </w:pPr>
    </w:p>
    <w:p w:rsidR="005C1F2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894026" w:rsidRDefault="00894026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12"/>
        <w:gridCol w:w="4176"/>
      </w:tblGrid>
      <w:tr w:rsidR="00894026" w:rsidRPr="00390549" w:rsidTr="00894026">
        <w:tc>
          <w:tcPr>
            <w:tcW w:w="2752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Környezetvédelmi osztályvezető</w:t>
            </w:r>
          </w:p>
        </w:tc>
      </w:tr>
      <w:tr w:rsidR="00894026" w:rsidRPr="00390549" w:rsidTr="00894026">
        <w:tc>
          <w:tcPr>
            <w:tcW w:w="2752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Az energiahatékonysági eredmények nyomon követésé</w:t>
            </w:r>
            <w:r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</w:t>
            </w:r>
            <w:proofErr w:type="gramStart"/>
            <w:r w:rsidRPr="00390549">
              <w:rPr>
                <w:rFonts w:ascii="Times New Roman" w:hAnsi="Times New Roman" w:cs="Times New Roman"/>
              </w:rPr>
              <w:t>személy(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ek</w:t>
            </w:r>
            <w:proofErr w:type="spellEnd"/>
            <w:r w:rsidRPr="0039054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248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Intézményüzemeltetési osztály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4026" w:rsidRDefault="00894026">
      <w:pPr>
        <w:ind w:left="0"/>
        <w:rPr>
          <w:rFonts w:ascii="Times New Roman" w:hAnsi="Times New Roman" w:cs="Times New Roman"/>
        </w:rPr>
      </w:pPr>
    </w:p>
    <w:p w:rsidR="000132C8" w:rsidRPr="00894026" w:rsidRDefault="000132C8" w:rsidP="00894026">
      <w:pPr>
        <w:pStyle w:val="Cmsor1"/>
        <w:rPr>
          <w:rFonts w:ascii="Times New Roman" w:hAnsi="Times New Roman" w:cs="Times New Roman"/>
        </w:rPr>
      </w:pPr>
      <w:bookmarkStart w:id="2" w:name="_Toc468804517"/>
      <w:bookmarkStart w:id="3" w:name="_Toc477652055"/>
      <w:r w:rsidRPr="00894026">
        <w:rPr>
          <w:rFonts w:ascii="Times New Roman" w:hAnsi="Times New Roman" w:cs="Times New Roman"/>
        </w:rPr>
        <w:t>Az épület/épületegyüttes alapadatai</w:t>
      </w:r>
      <w:bookmarkEnd w:id="2"/>
      <w:bookmarkEnd w:id="3"/>
    </w:p>
    <w:p w:rsidR="00894026" w:rsidRDefault="00894026" w:rsidP="009B67D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B102F2" w:rsidRPr="00B102F2" w:rsidRDefault="00B102F2" w:rsidP="00B102F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102F2">
        <w:rPr>
          <w:rFonts w:ascii="Times New Roman" w:hAnsi="Times New Roman" w:cs="Times New Roman"/>
        </w:rPr>
        <w:t xml:space="preserve">A Lévai u. 34. szám alatt található Közösségi Ház egy 158 m2 </w:t>
      </w:r>
      <w:r>
        <w:rPr>
          <w:rFonts w:ascii="Times New Roman" w:hAnsi="Times New Roman" w:cs="Times New Roman"/>
        </w:rPr>
        <w:t xml:space="preserve">alapterületű, földszint </w:t>
      </w:r>
      <w:r w:rsidRPr="00B102F2">
        <w:rPr>
          <w:rFonts w:ascii="Times New Roman" w:hAnsi="Times New Roman" w:cs="Times New Roman"/>
        </w:rPr>
        <w:t>+ tetőtér beépítésű épület. A földszinten található e</w:t>
      </w:r>
      <w:r>
        <w:rPr>
          <w:rFonts w:ascii="Times New Roman" w:hAnsi="Times New Roman" w:cs="Times New Roman"/>
        </w:rPr>
        <w:t xml:space="preserve">gy iroda, egy teakonyha, mosdó, </w:t>
      </w:r>
      <w:r w:rsidRPr="00B102F2">
        <w:rPr>
          <w:rFonts w:ascii="Times New Roman" w:hAnsi="Times New Roman" w:cs="Times New Roman"/>
        </w:rPr>
        <w:t>közösségi tér, a tetőtérben technikai helyiségek és egy nagyobb előadó terem.</w:t>
      </w:r>
    </w:p>
    <w:p w:rsidR="00B102F2" w:rsidRDefault="00B102F2" w:rsidP="00B102F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102F2">
        <w:rPr>
          <w:rFonts w:ascii="Times New Roman" w:hAnsi="Times New Roman" w:cs="Times New Roman"/>
        </w:rPr>
        <w:t>Az intézmény egy az ezen a telken álló korábbi épület</w:t>
      </w:r>
      <w:r>
        <w:rPr>
          <w:rFonts w:ascii="Times New Roman" w:hAnsi="Times New Roman" w:cs="Times New Roman"/>
        </w:rPr>
        <w:t xml:space="preserve"> átalakítása után nyerte el mai </w:t>
      </w:r>
      <w:r w:rsidRPr="00B102F2">
        <w:rPr>
          <w:rFonts w:ascii="Times New Roman" w:hAnsi="Times New Roman" w:cs="Times New Roman"/>
        </w:rPr>
        <w:t>formáját</w:t>
      </w:r>
      <w:r>
        <w:rPr>
          <w:rFonts w:ascii="Times New Roman" w:hAnsi="Times New Roman" w:cs="Times New Roman"/>
        </w:rPr>
        <w:t xml:space="preserve">. Az épület teteje </w:t>
      </w:r>
      <w:proofErr w:type="gramStart"/>
      <w:r>
        <w:rPr>
          <w:rFonts w:ascii="Times New Roman" w:hAnsi="Times New Roman" w:cs="Times New Roman"/>
        </w:rPr>
        <w:t>pala fedésű</w:t>
      </w:r>
      <w:proofErr w:type="gramEnd"/>
      <w:r>
        <w:rPr>
          <w:rFonts w:ascii="Times New Roman" w:hAnsi="Times New Roman" w:cs="Times New Roman"/>
        </w:rPr>
        <w:t xml:space="preserve">. </w:t>
      </w:r>
      <w:r w:rsidRPr="00B102F2">
        <w:rPr>
          <w:rFonts w:ascii="Times New Roman" w:hAnsi="Times New Roman" w:cs="Times New Roman"/>
        </w:rPr>
        <w:t>A fűtést távhő biztosítja, egyéb kiegészítő fűté</w:t>
      </w:r>
      <w:r>
        <w:rPr>
          <w:rFonts w:ascii="Times New Roman" w:hAnsi="Times New Roman" w:cs="Times New Roman"/>
        </w:rPr>
        <w:t xml:space="preserve">s nem található az épületben. A </w:t>
      </w:r>
      <w:r w:rsidRPr="00B102F2">
        <w:rPr>
          <w:rFonts w:ascii="Times New Roman" w:hAnsi="Times New Roman" w:cs="Times New Roman"/>
        </w:rPr>
        <w:t>használati melegvíz előállításához 1 db elektr</w:t>
      </w:r>
      <w:r>
        <w:rPr>
          <w:rFonts w:ascii="Times New Roman" w:hAnsi="Times New Roman" w:cs="Times New Roman"/>
        </w:rPr>
        <w:t xml:space="preserve">omos bojler áll rendelkezésre a </w:t>
      </w:r>
      <w:r w:rsidRPr="00B102F2">
        <w:rPr>
          <w:rFonts w:ascii="Times New Roman" w:hAnsi="Times New Roman" w:cs="Times New Roman"/>
        </w:rPr>
        <w:t>konyhában.</w:t>
      </w:r>
    </w:p>
    <w:p w:rsidR="003E62D9" w:rsidRDefault="003E62D9" w:rsidP="00E255A4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94026" w:rsidRDefault="00894026" w:rsidP="009B67D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4"/>
        <w:gridCol w:w="4328"/>
      </w:tblGrid>
      <w:tr w:rsidR="00730A9A" w:rsidRPr="00390549" w:rsidTr="004836E8">
        <w:trPr>
          <w:trHeight w:val="30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9B67DC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730A9A"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épület/épületegyüttes alapadatai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B102F2" w:rsidRPr="00390549" w:rsidTr="004836E8">
        <w:trPr>
          <w:trHeight w:val="315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címe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A1C45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A1C4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2040 Budaörs,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Lévai u. 34.</w:t>
            </w:r>
          </w:p>
        </w:tc>
      </w:tr>
      <w:tr w:rsidR="00B102F2" w:rsidRPr="00390549" w:rsidTr="004836E8">
        <w:trPr>
          <w:trHeight w:val="315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Helyrajzi száma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1036/42</w:t>
            </w:r>
          </w:p>
        </w:tc>
      </w:tr>
      <w:tr w:rsidR="00B102F2" w:rsidRPr="00390549" w:rsidTr="004836E8">
        <w:trPr>
          <w:trHeight w:val="509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Tulajdonos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  <w:r w:rsidRPr="00BC7728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Budaörs Város Önkormányzata</w:t>
            </w:r>
          </w:p>
        </w:tc>
      </w:tr>
      <w:tr w:rsidR="00B102F2" w:rsidRPr="00390549" w:rsidTr="004836E8">
        <w:trPr>
          <w:trHeight w:val="315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megnevezése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Közösségi Ház</w:t>
            </w:r>
          </w:p>
        </w:tc>
      </w:tr>
      <w:tr w:rsidR="00B102F2" w:rsidRPr="00390549" w:rsidTr="004836E8">
        <w:trPr>
          <w:trHeight w:val="315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Létesítmény funkciója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        művelődés</w:t>
            </w:r>
          </w:p>
        </w:tc>
      </w:tr>
      <w:tr w:rsidR="00B102F2" w:rsidRPr="00390549" w:rsidTr="004836E8">
        <w:trPr>
          <w:trHeight w:val="315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 xml:space="preserve">Védettség 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 helyi védettség</w:t>
            </w:r>
          </w:p>
        </w:tc>
      </w:tr>
      <w:tr w:rsidR="00B102F2" w:rsidRPr="00390549" w:rsidTr="00AC58A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B102F2" w:rsidRPr="00390549" w:rsidTr="004836E8">
        <w:trPr>
          <w:trHeight w:val="300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730A9A" w:rsidRDefault="00B102F2" w:rsidP="00B102F2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Hasznos alapterülete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71CA3" w:rsidRDefault="00B102F2" w:rsidP="00B102F2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  <w:t xml:space="preserve"> 243 m² </w:t>
            </w:r>
          </w:p>
        </w:tc>
      </w:tr>
      <w:tr w:rsidR="00B102F2" w:rsidRPr="00390549" w:rsidTr="004836E8">
        <w:trPr>
          <w:trHeight w:val="300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1986</w:t>
            </w:r>
          </w:p>
        </w:tc>
      </w:tr>
      <w:tr w:rsidR="00B102F2" w:rsidRPr="00390549" w:rsidTr="004836E8">
        <w:trPr>
          <w:trHeight w:val="300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Hagyományos</w:t>
            </w:r>
          </w:p>
        </w:tc>
      </w:tr>
      <w:tr w:rsidR="00B102F2" w:rsidRPr="00390549" w:rsidTr="004836E8">
        <w:trPr>
          <w:trHeight w:val="300"/>
          <w:jc w:val="center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+Fsz. + tetőtér</w:t>
            </w:r>
          </w:p>
        </w:tc>
      </w:tr>
    </w:tbl>
    <w:p w:rsidR="00DB7227" w:rsidRDefault="00DB7227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6"/>
        <w:gridCol w:w="2156"/>
      </w:tblGrid>
      <w:tr w:rsidR="00730A9A" w:rsidRPr="00390549" w:rsidTr="00AC58A7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spacing w:before="200" w:after="200"/>
              <w:jc w:val="left"/>
              <w:rPr>
                <w:rFonts w:ascii="Times New Roman" w:hAnsi="Times New Roman" w:cs="Times New Roman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Külső falazat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tégla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Tető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magas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Ablak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műanyag</w:t>
            </w:r>
          </w:p>
        </w:tc>
      </w:tr>
      <w:tr w:rsidR="00B102F2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műanyag</w:t>
            </w:r>
          </w:p>
        </w:tc>
      </w:tr>
      <w:tr w:rsidR="00B102F2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BF5730">
              <w:rPr>
                <w:rFonts w:ascii="Times New Roman" w:hAnsi="Times New Roman" w:cs="Times New Roman"/>
                <w:lang w:eastAsia="hu-HU"/>
              </w:rPr>
              <w:t xml:space="preserve">Felhasznált energia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F2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távhő, </w:t>
            </w:r>
          </w:p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villamos energia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radiátoros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hu-HU"/>
              </w:rPr>
              <w:t>Hőtermelő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Hőleadó</w:t>
            </w:r>
            <w:proofErr w:type="spellEnd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radiátor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távhő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Hűtési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split</w:t>
            </w:r>
            <w:proofErr w:type="spellEnd"/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Világítás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6C4226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kompakt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323</w:t>
            </w:r>
          </w:p>
        </w:tc>
      </w:tr>
      <w:tr w:rsidR="00B102F2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2F2" w:rsidRPr="00390549" w:rsidRDefault="00B102F2" w:rsidP="00B102F2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2F2" w:rsidRPr="00390549" w:rsidRDefault="00B102F2" w:rsidP="00B102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Nem készült</w:t>
            </w:r>
          </w:p>
        </w:tc>
      </w:tr>
    </w:tbl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4" w:name="_Ref470952316"/>
      <w:bookmarkStart w:id="5" w:name="_Toc477652056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4"/>
      <w:r w:rsidR="00FD4357" w:rsidRPr="00390549">
        <w:rPr>
          <w:rFonts w:ascii="Times New Roman" w:hAnsi="Times New Roman" w:cs="Times New Roman"/>
        </w:rPr>
        <w:t>i lehetőségek</w:t>
      </w:r>
      <w:bookmarkEnd w:id="5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1-3 éven belül kerülhetnek megvalósításra, és az intézmény éves energiafogyasztásának 7-10 %-os megtakarítást eredményezik.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6" w:name="_Toc477652057"/>
      <w:r w:rsidRPr="00390549">
        <w:rPr>
          <w:rFonts w:ascii="Times New Roman" w:hAnsi="Times New Roman" w:cs="Times New Roman"/>
        </w:rPr>
        <w:t>Beruházást nem igénylő beavatkozások</w:t>
      </w:r>
      <w:bookmarkEnd w:id="6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nem igénylő beavatkozások, melyek az intézmény éves energiafogyasztásának 3-5 %-os megtakarítását eredményezik. Jellemzően ezek a beavatkozások rövidtávon, egy éven belül megvalósíthatók.</w:t>
      </w:r>
    </w:p>
    <w:p w:rsidR="00DB7227" w:rsidRDefault="00DB7227" w:rsidP="00D7621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B102F2" w:rsidRPr="00E92CE3" w:rsidTr="00B102F2">
        <w:trPr>
          <w:jc w:val="center"/>
        </w:trPr>
        <w:tc>
          <w:tcPr>
            <w:tcW w:w="2482" w:type="pct"/>
          </w:tcPr>
          <w:p w:rsidR="00B102F2" w:rsidRPr="00E92CE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B102F2" w:rsidRPr="00E92CE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B102F2" w:rsidRPr="00E92CE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B102F2" w:rsidRPr="00E92CE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102F2" w:rsidRPr="00390549" w:rsidTr="00B102F2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Default="00B102F2" w:rsidP="00B102F2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B102F2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szünetekben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a</w:t>
            </w:r>
            <w:proofErr w:type="gramEnd"/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használati meleg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Default="00B102F2" w:rsidP="00B102F2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B102F2">
        <w:trPr>
          <w:jc w:val="center"/>
        </w:trPr>
        <w:tc>
          <w:tcPr>
            <w:tcW w:w="2482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Táv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B102F2">
        <w:trPr>
          <w:jc w:val="center"/>
        </w:trPr>
        <w:tc>
          <w:tcPr>
            <w:tcW w:w="2482" w:type="pct"/>
          </w:tcPr>
          <w:p w:rsidR="00B102F2" w:rsidRPr="00720AFA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B102F2" w:rsidRPr="00720AFA" w:rsidRDefault="00B102F2" w:rsidP="00B102F2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102F2" w:rsidRPr="00390549" w:rsidTr="00B102F2">
        <w:trPr>
          <w:jc w:val="center"/>
        </w:trPr>
        <w:tc>
          <w:tcPr>
            <w:tcW w:w="2482" w:type="pct"/>
          </w:tcPr>
          <w:p w:rsidR="00B102F2" w:rsidRPr="00720AFA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B102F2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B102F2" w:rsidRPr="00720AFA" w:rsidRDefault="00B102F2" w:rsidP="00B102F2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7" w:name="_Toc477652058"/>
      <w:r w:rsidRPr="00390549">
        <w:rPr>
          <w:rFonts w:ascii="Times New Roman" w:hAnsi="Times New Roman" w:cs="Times New Roman"/>
        </w:rPr>
        <w:t>Minimális ráfordítást igénylő beavatkozások</w:t>
      </w:r>
      <w:bookmarkEnd w:id="7"/>
    </w:p>
    <w:p w:rsidR="00B65086" w:rsidRDefault="00B65086" w:rsidP="00B65086">
      <w:pPr>
        <w:spacing w:after="160" w:line="259" w:lineRule="auto"/>
        <w:ind w:left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Minimális ráfordítást igénylő beavatkozások kerültek, melyek általában 1-3 éven belül kerülhetnek megvalósításra, és az intézmény éves energiafogyasztásának 7-10 %-os megtakarítást eredményezik.</w:t>
      </w:r>
    </w:p>
    <w:p w:rsidR="00B65086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275B2F" w:rsidRDefault="00275B2F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275B2F" w:rsidRDefault="00275B2F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B102F2" w:rsidRPr="000714FE" w:rsidTr="00B102F2">
        <w:trPr>
          <w:jc w:val="center"/>
        </w:trPr>
        <w:tc>
          <w:tcPr>
            <w:tcW w:w="2539" w:type="pct"/>
          </w:tcPr>
          <w:p w:rsidR="00B102F2" w:rsidRPr="000714FE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B102F2" w:rsidRPr="000714FE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B102F2" w:rsidRPr="000714FE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B102F2" w:rsidRPr="000714FE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tanúsítványok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elkészíttetése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294A1A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</w:t>
            </w:r>
            <w:r>
              <w:rPr>
                <w:rFonts w:ascii="Times New Roman" w:hAnsi="Times New Roman"/>
                <w:i/>
                <w:szCs w:val="24"/>
              </w:rPr>
              <w:t>ó kefe felszerelése, ajtócsukó. Passzítások évenkénti elvégzése.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14" w:type="pct"/>
          </w:tcPr>
          <w:p w:rsidR="00B102F2" w:rsidRPr="005275F1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Pr="005275F1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CB0A49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CB0A49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r>
              <w:rPr>
                <w:rFonts w:ascii="Times New Roman" w:hAnsi="Times New Roman"/>
                <w:i/>
                <w:szCs w:val="24"/>
              </w:rPr>
              <w:t>törekvés (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pl.</w:t>
            </w:r>
            <w:r w:rsidRPr="00682191">
              <w:rPr>
                <w:rFonts w:ascii="Times New Roman" w:hAnsi="Times New Roman"/>
                <w:i/>
                <w:szCs w:val="24"/>
              </w:rPr>
              <w:t>monitor</w:t>
            </w:r>
            <w:proofErr w:type="spellEnd"/>
            <w:r w:rsidRPr="00682191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B102F2" w:rsidRPr="00390549" w:rsidTr="00B102F2">
        <w:trPr>
          <w:jc w:val="center"/>
        </w:trPr>
        <w:tc>
          <w:tcPr>
            <w:tcW w:w="2539" w:type="pct"/>
          </w:tcPr>
          <w:p w:rsidR="00B102F2" w:rsidRPr="00682191" w:rsidRDefault="00B102F2" w:rsidP="00B102F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682191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 .</w:t>
            </w:r>
            <w:proofErr w:type="gramEnd"/>
          </w:p>
        </w:tc>
        <w:tc>
          <w:tcPr>
            <w:tcW w:w="115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3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</w:tbl>
    <w:p w:rsidR="00B65086" w:rsidRPr="00390549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8" w:name="_Toc477652059"/>
      <w:r w:rsidRPr="00390549">
        <w:rPr>
          <w:rFonts w:ascii="Times New Roman" w:hAnsi="Times New Roman" w:cs="Times New Roman"/>
        </w:rPr>
        <w:t>Beruházást igénylő intézkedések</w:t>
      </w:r>
      <w:bookmarkEnd w:id="8"/>
    </w:p>
    <w:p w:rsidR="005829D3" w:rsidRDefault="005829D3" w:rsidP="005829D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igénylő beavatkozások, melyek túlnyomó részben külső forrás bevonásával 4-5 éven belül valósíthatók meg és az éves energiafogyasztás 10-30 %-os megtakarítását eredményezik.</w:t>
      </w:r>
    </w:p>
    <w:p w:rsidR="00275B2F" w:rsidRDefault="00275B2F" w:rsidP="005829D3">
      <w:pPr>
        <w:ind w:left="0"/>
        <w:rPr>
          <w:rFonts w:ascii="Times New Roman" w:hAnsi="Times New Roman" w:cs="Times New Roman"/>
        </w:rPr>
      </w:pPr>
    </w:p>
    <w:p w:rsidR="00275B2F" w:rsidRDefault="00275B2F" w:rsidP="005829D3">
      <w:pPr>
        <w:ind w:left="0"/>
        <w:rPr>
          <w:rFonts w:ascii="Times New Roman" w:hAnsi="Times New Roman" w:cs="Times New Roman"/>
        </w:rPr>
      </w:pPr>
    </w:p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1663"/>
        <w:gridCol w:w="1403"/>
        <w:gridCol w:w="1476"/>
      </w:tblGrid>
      <w:tr w:rsidR="00FE70A2" w:rsidRPr="00390549" w:rsidTr="00FE70A2">
        <w:trPr>
          <w:jc w:val="center"/>
        </w:trPr>
        <w:tc>
          <w:tcPr>
            <w:tcW w:w="2624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870" w:type="pct"/>
            <w:vAlign w:val="center"/>
          </w:tcPr>
          <w:p w:rsidR="00FE70A2" w:rsidRPr="00DA0B9B" w:rsidRDefault="00FE70A2" w:rsidP="005829D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734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72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Pr="003B2664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87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734" w:type="pct"/>
          </w:tcPr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2" w:type="pct"/>
          </w:tcPr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87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B102F2" w:rsidRPr="000D3E7F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2,3 </w:t>
            </w:r>
          </w:p>
          <w:p w:rsidR="00B102F2" w:rsidRPr="00800B73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AA7F96">
        <w:trPr>
          <w:trHeight w:val="513"/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102F2" w:rsidRPr="006A1FBC" w:rsidRDefault="00B102F2" w:rsidP="00B102F2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</w:t>
            </w:r>
          </w:p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Pr="00AA7F96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2022</w:t>
            </w:r>
          </w:p>
        </w:tc>
        <w:tc>
          <w:tcPr>
            <w:tcW w:w="772" w:type="pct"/>
          </w:tcPr>
          <w:p w:rsidR="00B102F2" w:rsidRPr="00AA7F96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870" w:type="pct"/>
          </w:tcPr>
          <w:p w:rsidR="00B102F2" w:rsidRPr="0039054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B102F2" w:rsidRPr="005067D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</w:pPr>
            <w:r w:rsidRPr="00CA1809"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B102F2" w:rsidRPr="005067D9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</w:pPr>
            <w:r w:rsidRPr="00CA1809"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B102F2" w:rsidRPr="00390549" w:rsidTr="00FE70A2">
        <w:trPr>
          <w:jc w:val="center"/>
        </w:trPr>
        <w:tc>
          <w:tcPr>
            <w:tcW w:w="262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B102F2" w:rsidRPr="00390549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870" w:type="pct"/>
          </w:tcPr>
          <w:p w:rsidR="00B102F2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B102F2" w:rsidRPr="007037AA" w:rsidRDefault="00B102F2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B102F2" w:rsidRDefault="00B102F2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9" w:name="_Toc477652060"/>
      <w:r w:rsidRPr="00390549">
        <w:rPr>
          <w:rFonts w:ascii="Times New Roman" w:hAnsi="Times New Roman" w:cs="Times New Roman"/>
        </w:rPr>
        <w:t>Megvalósított intézkedések</w:t>
      </w:r>
      <w:bookmarkEnd w:id="9"/>
      <w:r w:rsidR="00C146D9" w:rsidRPr="00390549">
        <w:rPr>
          <w:rFonts w:ascii="Times New Roman" w:hAnsi="Times New Roman" w:cs="Times New Roman"/>
        </w:rPr>
        <w:t xml:space="preserve"> </w:t>
      </w:r>
    </w:p>
    <w:p w:rsidR="00390549" w:rsidRDefault="00390549" w:rsidP="00EF3F8A">
      <w:pPr>
        <w:ind w:left="0"/>
        <w:rPr>
          <w:rFonts w:ascii="Times New Roman" w:hAnsi="Times New Roman" w:cs="Times New Roman"/>
        </w:rPr>
      </w:pPr>
    </w:p>
    <w:p w:rsidR="001958FA" w:rsidRDefault="00FE70A2" w:rsidP="005829D3">
      <w:pPr>
        <w:ind w:left="0"/>
      </w:pPr>
      <w:r>
        <w:t>Az elmúlt öt évre vonatkozóan nem készült intézkedési terv.</w:t>
      </w:r>
    </w:p>
    <w:p w:rsidR="00070E72" w:rsidRDefault="00070E72" w:rsidP="005829D3">
      <w:pPr>
        <w:ind w:left="0"/>
      </w:pP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0" w:name="_Toc477652061"/>
      <w:r w:rsidRPr="00390549">
        <w:rPr>
          <w:rFonts w:ascii="Times New Roman" w:hAnsi="Times New Roman" w:cs="Times New Roman"/>
        </w:rPr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0"/>
      <w:r w:rsidR="00DA3CBA" w:rsidRPr="00390549">
        <w:rPr>
          <w:rFonts w:ascii="Times New Roman" w:hAnsi="Times New Roman" w:cs="Times New Roman"/>
        </w:rPr>
        <w:t xml:space="preserve"> </w:t>
      </w: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 xml:space="preserve">megvalósítás tervezett időpontja szerint </w:t>
      </w:r>
      <w:r w:rsidR="005829D3">
        <w:rPr>
          <w:rFonts w:ascii="Times New Roman" w:hAnsi="Times New Roman" w:cs="Times New Roman"/>
        </w:rPr>
        <w:t>sorba rendeztük</w:t>
      </w:r>
      <w:r w:rsidRPr="003552CB">
        <w:rPr>
          <w:rFonts w:ascii="Times New Roman" w:hAnsi="Times New Roman" w:cs="Times New Roman"/>
        </w:rPr>
        <w:t>. M</w:t>
      </w:r>
      <w:r w:rsidR="005829D3">
        <w:rPr>
          <w:rFonts w:ascii="Times New Roman" w:hAnsi="Times New Roman" w:cs="Times New Roman"/>
        </w:rPr>
        <w:t>inden egyes javaslathoz felelős</w:t>
      </w:r>
      <w:r w:rsidR="007F7AAC" w:rsidRPr="003552CB">
        <w:rPr>
          <w:rFonts w:ascii="Times New Roman" w:hAnsi="Times New Roman" w:cs="Times New Roman"/>
        </w:rPr>
        <w:t>,</w:t>
      </w:r>
      <w:r w:rsidR="005829D3">
        <w:rPr>
          <w:rFonts w:ascii="Times New Roman" w:hAnsi="Times New Roman" w:cs="Times New Roman"/>
        </w:rPr>
        <w:t xml:space="preserve"> megvalósítási határidő</w:t>
      </w:r>
      <w:r w:rsidRPr="003552CB">
        <w:rPr>
          <w:rFonts w:ascii="Times New Roman" w:hAnsi="Times New Roman" w:cs="Times New Roman"/>
        </w:rPr>
        <w:t xml:space="preserve"> és becsült megtakarítási potenciált </w:t>
      </w:r>
      <w:r w:rsidR="005829D3">
        <w:rPr>
          <w:rFonts w:ascii="Times New Roman" w:hAnsi="Times New Roman" w:cs="Times New Roman"/>
        </w:rPr>
        <w:t>került hozzárendelésre</w:t>
      </w:r>
      <w:r w:rsidRPr="003552CB">
        <w:rPr>
          <w:rFonts w:ascii="Times New Roman" w:hAnsi="Times New Roman" w:cs="Times New Roman"/>
        </w:rPr>
        <w:t>.</w:t>
      </w:r>
    </w:p>
    <w:p w:rsidR="0073459B" w:rsidRPr="003552CB" w:rsidRDefault="0073459B" w:rsidP="00390549">
      <w:pPr>
        <w:ind w:left="0"/>
        <w:rPr>
          <w:rFonts w:ascii="Times New Roman" w:hAnsi="Times New Roman" w:cs="Times New Roman"/>
        </w:rPr>
      </w:pPr>
    </w:p>
    <w:p w:rsidR="00DA3CBA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</w:t>
      </w:r>
      <w:r w:rsidR="00AC58A7">
        <w:rPr>
          <w:rFonts w:ascii="Times New Roman" w:hAnsi="Times New Roman" w:cs="Times New Roman"/>
        </w:rPr>
        <w:t>vettük</w:t>
      </w:r>
      <w:r w:rsidRPr="003552CB">
        <w:rPr>
          <w:rFonts w:ascii="Times New Roman" w:hAnsi="Times New Roman" w:cs="Times New Roman"/>
        </w:rPr>
        <w:t xml:space="preserve">. Az egymásra épülő intézkedések nem megfelelő megvalósítási sorrendje többletköltségeket eredményezhet. </w:t>
      </w:r>
    </w:p>
    <w:p w:rsidR="001958FA" w:rsidRDefault="001958FA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275B2F" w:rsidRPr="00E92CE3" w:rsidTr="00056366">
        <w:trPr>
          <w:jc w:val="center"/>
        </w:trPr>
        <w:tc>
          <w:tcPr>
            <w:tcW w:w="2482" w:type="pct"/>
          </w:tcPr>
          <w:p w:rsidR="00275B2F" w:rsidRPr="00E92CE3" w:rsidRDefault="00275B2F" w:rsidP="0005636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275B2F" w:rsidRPr="00E92CE3" w:rsidRDefault="00275B2F" w:rsidP="0005636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275B2F" w:rsidRPr="00E92CE3" w:rsidRDefault="00275B2F" w:rsidP="0005636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275B2F" w:rsidRPr="00E92CE3" w:rsidRDefault="00275B2F" w:rsidP="0005636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275B2F" w:rsidRPr="00390549" w:rsidTr="00056366">
        <w:trPr>
          <w:jc w:val="center"/>
        </w:trPr>
        <w:tc>
          <w:tcPr>
            <w:tcW w:w="2482" w:type="pct"/>
          </w:tcPr>
          <w:p w:rsidR="00275B2F" w:rsidRPr="00294A1A" w:rsidRDefault="00275B2F" w:rsidP="0005636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275B2F" w:rsidRDefault="00275B2F" w:rsidP="00056366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275B2F" w:rsidRPr="00390549" w:rsidTr="00056366">
        <w:trPr>
          <w:jc w:val="center"/>
        </w:trPr>
        <w:tc>
          <w:tcPr>
            <w:tcW w:w="2482" w:type="pct"/>
          </w:tcPr>
          <w:p w:rsidR="00275B2F" w:rsidRPr="00294A1A" w:rsidRDefault="00275B2F" w:rsidP="0005636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szünetekben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a</w:t>
            </w:r>
            <w:proofErr w:type="gramEnd"/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 használati meleg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1190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275B2F" w:rsidRDefault="00275B2F" w:rsidP="00056366">
            <w:pPr>
              <w:ind w:left="0"/>
              <w:jc w:val="center"/>
            </w:pPr>
            <w:r w:rsidRPr="0041109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275B2F" w:rsidRPr="00390549" w:rsidTr="00056366">
        <w:trPr>
          <w:jc w:val="center"/>
        </w:trPr>
        <w:tc>
          <w:tcPr>
            <w:tcW w:w="2482" w:type="pct"/>
          </w:tcPr>
          <w:p w:rsidR="00275B2F" w:rsidRPr="00294A1A" w:rsidRDefault="00275B2F" w:rsidP="0005636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Táv</w:t>
            </w: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275B2F" w:rsidRPr="00390549" w:rsidTr="00056366">
        <w:trPr>
          <w:jc w:val="center"/>
        </w:trPr>
        <w:tc>
          <w:tcPr>
            <w:tcW w:w="2482" w:type="pct"/>
          </w:tcPr>
          <w:p w:rsidR="00275B2F" w:rsidRPr="00720AFA" w:rsidRDefault="00275B2F" w:rsidP="0005636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275B2F" w:rsidRDefault="00275B2F" w:rsidP="00056366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275B2F" w:rsidRPr="00720AFA" w:rsidRDefault="00275B2F" w:rsidP="00056366">
            <w:pPr>
              <w:pStyle w:val="Listaszerbekezds"/>
              <w:numPr>
                <w:ilvl w:val="0"/>
                <w:numId w:val="40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275B2F" w:rsidRPr="00390549" w:rsidTr="00056366">
        <w:trPr>
          <w:jc w:val="center"/>
        </w:trPr>
        <w:tc>
          <w:tcPr>
            <w:tcW w:w="2482" w:type="pct"/>
          </w:tcPr>
          <w:p w:rsidR="00275B2F" w:rsidRPr="00720AFA" w:rsidRDefault="00275B2F" w:rsidP="0005636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275B2F" w:rsidRDefault="00275B2F" w:rsidP="00056366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275B2F" w:rsidRDefault="00275B2F" w:rsidP="00056366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275B2F" w:rsidRDefault="00275B2F" w:rsidP="00056366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275B2F" w:rsidRDefault="00275B2F" w:rsidP="00056366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275B2F" w:rsidRPr="00720AFA" w:rsidRDefault="00275B2F" w:rsidP="00056366">
            <w:pPr>
              <w:pStyle w:val="Listaszerbekezds"/>
              <w:numPr>
                <w:ilvl w:val="0"/>
                <w:numId w:val="41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720AFA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275B2F" w:rsidRPr="00390549" w:rsidRDefault="00275B2F" w:rsidP="0005636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1958FA" w:rsidRDefault="001958FA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00"/>
        <w:gridCol w:w="1910"/>
        <w:gridCol w:w="1016"/>
        <w:gridCol w:w="1016"/>
        <w:gridCol w:w="1146"/>
      </w:tblGrid>
      <w:tr w:rsidR="00275B2F" w:rsidRPr="000714FE" w:rsidTr="00275B2F">
        <w:trPr>
          <w:jc w:val="center"/>
        </w:trPr>
        <w:tc>
          <w:tcPr>
            <w:tcW w:w="2261" w:type="pct"/>
          </w:tcPr>
          <w:p w:rsidR="00275B2F" w:rsidRPr="000714FE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028" w:type="pct"/>
          </w:tcPr>
          <w:p w:rsidR="00275B2F" w:rsidRPr="000714FE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547" w:type="pct"/>
          </w:tcPr>
          <w:p w:rsidR="00275B2F" w:rsidRPr="000714FE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547" w:type="pct"/>
          </w:tcPr>
          <w:p w:rsidR="00275B2F" w:rsidRPr="000714FE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17" w:type="pct"/>
          </w:tcPr>
          <w:p w:rsidR="00275B2F" w:rsidRPr="000714FE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294A1A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682191" w:rsidRDefault="00275B2F" w:rsidP="00275B2F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294A1A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tanúsítványok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elkészíttetése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294A1A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294A1A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682191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</w:t>
            </w:r>
            <w:r>
              <w:rPr>
                <w:rFonts w:ascii="Times New Roman" w:hAnsi="Times New Roman"/>
                <w:i/>
                <w:szCs w:val="24"/>
              </w:rPr>
              <w:t>ó kefe felszerelése, ajtócsukó. Passzítások évenkénti elvégzése.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390549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547" w:type="pct"/>
          </w:tcPr>
          <w:p w:rsidR="00275B2F" w:rsidRPr="005275F1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547" w:type="pct"/>
          </w:tcPr>
          <w:p w:rsidR="00275B2F" w:rsidRPr="005275F1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Pr="005275F1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275F1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CB0A49" w:rsidRDefault="00275B2F" w:rsidP="00275B2F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CB0A49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CB0A49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CB0A49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CB0A49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682191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r>
              <w:rPr>
                <w:rFonts w:ascii="Times New Roman" w:hAnsi="Times New Roman"/>
                <w:i/>
                <w:szCs w:val="24"/>
              </w:rPr>
              <w:t>törekvés (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pl.</w:t>
            </w:r>
            <w:r w:rsidRPr="00682191">
              <w:rPr>
                <w:rFonts w:ascii="Times New Roman" w:hAnsi="Times New Roman"/>
                <w:i/>
                <w:szCs w:val="24"/>
              </w:rPr>
              <w:t>monitor</w:t>
            </w:r>
            <w:proofErr w:type="spellEnd"/>
            <w:r w:rsidRPr="00682191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275B2F" w:rsidRPr="00390549" w:rsidTr="00275B2F">
        <w:trPr>
          <w:jc w:val="center"/>
        </w:trPr>
        <w:tc>
          <w:tcPr>
            <w:tcW w:w="2261" w:type="pct"/>
          </w:tcPr>
          <w:p w:rsidR="00275B2F" w:rsidRPr="00682191" w:rsidRDefault="00275B2F" w:rsidP="00275B2F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82191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682191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 .</w:t>
            </w:r>
            <w:proofErr w:type="gramEnd"/>
          </w:p>
        </w:tc>
        <w:tc>
          <w:tcPr>
            <w:tcW w:w="1028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547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</w:tbl>
    <w:p w:rsidR="004836E8" w:rsidRDefault="004836E8" w:rsidP="00390549">
      <w:pPr>
        <w:ind w:left="0"/>
        <w:rPr>
          <w:rFonts w:ascii="Times New Roman" w:hAnsi="Times New Roman" w:cs="Times New Roman"/>
        </w:rPr>
      </w:pPr>
    </w:p>
    <w:p w:rsidR="00275B2F" w:rsidRDefault="00275B2F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66"/>
        <w:gridCol w:w="1150"/>
        <w:gridCol w:w="1006"/>
        <w:gridCol w:w="1229"/>
        <w:gridCol w:w="1025"/>
        <w:gridCol w:w="1346"/>
      </w:tblGrid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4836E8" w:rsidRPr="00390549" w:rsidTr="00AC58A7">
        <w:trPr>
          <w:jc w:val="center"/>
        </w:trPr>
        <w:tc>
          <w:tcPr>
            <w:tcW w:w="299" w:type="pct"/>
          </w:tcPr>
          <w:p w:rsidR="004836E8" w:rsidRDefault="004836E8" w:rsidP="003E62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4836E8" w:rsidRDefault="004836E8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13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536" w:type="pct"/>
          </w:tcPr>
          <w:p w:rsidR="004836E8" w:rsidRDefault="00275B2F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  <w:r w:rsidR="004836E8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546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36E8" w:rsidRPr="00390549" w:rsidTr="00AC58A7">
        <w:trPr>
          <w:jc w:val="center"/>
        </w:trPr>
        <w:tc>
          <w:tcPr>
            <w:tcW w:w="299" w:type="pct"/>
          </w:tcPr>
          <w:p w:rsidR="004836E8" w:rsidRPr="000200AF" w:rsidRDefault="004836E8" w:rsidP="003E62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200A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4836E8" w:rsidRDefault="004836E8" w:rsidP="00B102F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4836E8" w:rsidRPr="00390549" w:rsidRDefault="004836E8" w:rsidP="00B102F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613" w:type="pct"/>
          </w:tcPr>
          <w:p w:rsidR="004836E8" w:rsidRPr="00390549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4836E8" w:rsidRDefault="00275B2F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  <w:r w:rsidR="004836E8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4836E8" w:rsidRPr="00390549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4836E8" w:rsidRDefault="004836E8" w:rsidP="00B102F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Forrás esetében - pályázat, támogatás - megvalósítható beruházással járó intézkedések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275B2F" w:rsidRPr="000D3E7F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2,3 </w:t>
            </w:r>
          </w:p>
          <w:p w:rsidR="00275B2F" w:rsidRPr="00800B73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Pr="000200A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275B2F" w:rsidRPr="006A1FBC" w:rsidRDefault="00275B2F" w:rsidP="00275B2F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Pr="00DC07F4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2,4 M Ft</w:t>
            </w:r>
          </w:p>
        </w:tc>
        <w:tc>
          <w:tcPr>
            <w:tcW w:w="655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275B2F" w:rsidRPr="00390549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13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275B2F" w:rsidRPr="00DC07F4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Pr="000200A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275B2F" w:rsidRPr="00390549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Pr="00DC07F4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Pr="002556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275B2F" w:rsidRPr="00390549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275B2F" w:rsidRPr="005067D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Pr="00DC07F4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4,75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F" w:rsidRPr="00390549" w:rsidTr="00AC58A7">
        <w:trPr>
          <w:jc w:val="center"/>
        </w:trPr>
        <w:tc>
          <w:tcPr>
            <w:tcW w:w="299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34" w:type="pct"/>
          </w:tcPr>
          <w:p w:rsidR="00275B2F" w:rsidRDefault="00275B2F" w:rsidP="00275B2F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275B2F" w:rsidRPr="00390549" w:rsidRDefault="00275B2F" w:rsidP="00275B2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613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275B2F" w:rsidRPr="005067D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275B2F" w:rsidRPr="00DC07F4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M Ft</w:t>
            </w:r>
          </w:p>
        </w:tc>
        <w:tc>
          <w:tcPr>
            <w:tcW w:w="655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275B2F" w:rsidRPr="00390549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275B2F" w:rsidRDefault="00275B2F" w:rsidP="00275B2F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1" w:name="_Toc477652062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1"/>
    </w:p>
    <w:p w:rsidR="00985A4F" w:rsidRPr="00390549" w:rsidRDefault="00AC58A7" w:rsidP="00EF3F8A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tervben foglaltak végrehajtását minden év február 28-ig felül kell vizsgálni.  </w:t>
      </w:r>
      <w:r w:rsidR="00FE70A2">
        <w:rPr>
          <w:rFonts w:ascii="Times New Roman" w:hAnsi="Times New Roman" w:cs="Times New Roman"/>
        </w:rPr>
        <w:t>Az energiafogyasztási adatokat (számlákat) havonta ellenőrizni szükséges, az esetlegesen felmerülő meghibásodások mielőbbi megszűntetése érdekében.</w:t>
      </w:r>
      <w:r w:rsidR="00FE70A2" w:rsidRPr="00390549">
        <w:rPr>
          <w:rFonts w:ascii="Times New Roman" w:hAnsi="Times New Roman" w:cs="Times New Roman"/>
        </w:rPr>
        <w:t xml:space="preserve"> </w:t>
      </w:r>
    </w:p>
    <w:sectPr w:rsidR="00985A4F" w:rsidRPr="00390549" w:rsidSect="00310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F2" w:rsidRDefault="00B102F2" w:rsidP="005C7E1A">
      <w:r>
        <w:separator/>
      </w:r>
    </w:p>
  </w:endnote>
  <w:endnote w:type="continuationSeparator" w:id="0">
    <w:p w:rsidR="00B102F2" w:rsidRDefault="00B102F2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F2" w:rsidRPr="00390549" w:rsidRDefault="00B102F2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275B2F">
      <w:rPr>
        <w:rFonts w:ascii="Times New Roman" w:hAnsi="Times New Roman" w:cs="Times New Roman"/>
        <w:noProof/>
        <w:color w:val="0F243E" w:themeColor="text2" w:themeShade="80"/>
        <w:szCs w:val="26"/>
      </w:rPr>
      <w:t>10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F2" w:rsidRDefault="00B102F2" w:rsidP="005C7E1A">
      <w:r>
        <w:separator/>
      </w:r>
    </w:p>
  </w:footnote>
  <w:footnote w:type="continuationSeparator" w:id="0">
    <w:p w:rsidR="00B102F2" w:rsidRDefault="00B102F2" w:rsidP="005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F2" w:rsidRPr="00390549" w:rsidRDefault="00B102F2" w:rsidP="00390549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JMMK Közösségi Ház</w:t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Pr="00390549">
      <w:rPr>
        <w:rFonts w:ascii="Times New Roman" w:hAnsi="Times New Roman" w:cs="Times New Roman"/>
        <w:sz w:val="22"/>
      </w:rPr>
      <w:t>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12C7D17"/>
    <w:multiLevelType w:val="hybridMultilevel"/>
    <w:tmpl w:val="5896C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4430AA"/>
    <w:multiLevelType w:val="hybridMultilevel"/>
    <w:tmpl w:val="3250A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79B4"/>
    <w:multiLevelType w:val="hybridMultilevel"/>
    <w:tmpl w:val="A68A8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21F20B25"/>
    <w:multiLevelType w:val="hybridMultilevel"/>
    <w:tmpl w:val="783E6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43936C8"/>
    <w:multiLevelType w:val="hybridMultilevel"/>
    <w:tmpl w:val="BC06A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8925733"/>
    <w:multiLevelType w:val="hybridMultilevel"/>
    <w:tmpl w:val="FF727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320413E"/>
    <w:multiLevelType w:val="hybridMultilevel"/>
    <w:tmpl w:val="6C907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4069"/>
    <w:multiLevelType w:val="hybridMultilevel"/>
    <w:tmpl w:val="87403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D1501FA"/>
    <w:multiLevelType w:val="hybridMultilevel"/>
    <w:tmpl w:val="29B8E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BEF"/>
    <w:multiLevelType w:val="hybridMultilevel"/>
    <w:tmpl w:val="33E8B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0"/>
  </w:num>
  <w:num w:numId="5">
    <w:abstractNumId w:val="26"/>
  </w:num>
  <w:num w:numId="6">
    <w:abstractNumId w:val="23"/>
  </w:num>
  <w:num w:numId="7">
    <w:abstractNumId w:val="12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20"/>
  </w:num>
  <w:num w:numId="13">
    <w:abstractNumId w:val="20"/>
  </w:num>
  <w:num w:numId="14">
    <w:abstractNumId w:val="11"/>
  </w:num>
  <w:num w:numId="15">
    <w:abstractNumId w:val="22"/>
  </w:num>
  <w:num w:numId="16">
    <w:abstractNumId w:val="19"/>
  </w:num>
  <w:num w:numId="17">
    <w:abstractNumId w:val="27"/>
  </w:num>
  <w:num w:numId="18">
    <w:abstractNumId w:val="2"/>
  </w:num>
  <w:num w:numId="19">
    <w:abstractNumId w:val="20"/>
  </w:num>
  <w:num w:numId="20">
    <w:abstractNumId w:val="8"/>
  </w:num>
  <w:num w:numId="21">
    <w:abstractNumId w:val="5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5"/>
  </w:num>
  <w:num w:numId="27">
    <w:abstractNumId w:val="5"/>
  </w:num>
  <w:num w:numId="28">
    <w:abstractNumId w:val="20"/>
  </w:num>
  <w:num w:numId="29">
    <w:abstractNumId w:val="20"/>
  </w:num>
  <w:num w:numId="30">
    <w:abstractNumId w:val="21"/>
  </w:num>
  <w:num w:numId="31">
    <w:abstractNumId w:val="5"/>
    <w:lvlOverride w:ilvl="0">
      <w:startOverride w:val="1"/>
    </w:lvlOverride>
  </w:num>
  <w:num w:numId="32">
    <w:abstractNumId w:val="9"/>
  </w:num>
  <w:num w:numId="33">
    <w:abstractNumId w:val="17"/>
  </w:num>
  <w:num w:numId="34">
    <w:abstractNumId w:val="4"/>
  </w:num>
  <w:num w:numId="35">
    <w:abstractNumId w:val="24"/>
  </w:num>
  <w:num w:numId="36">
    <w:abstractNumId w:val="25"/>
  </w:num>
  <w:num w:numId="37">
    <w:abstractNumId w:val="15"/>
  </w:num>
  <w:num w:numId="38">
    <w:abstractNumId w:val="6"/>
  </w:num>
  <w:num w:numId="39">
    <w:abstractNumId w:val="13"/>
  </w:num>
  <w:num w:numId="40">
    <w:abstractNumId w:val="7"/>
  </w:num>
  <w:num w:numId="4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0E72"/>
    <w:rsid w:val="00073D55"/>
    <w:rsid w:val="0007653C"/>
    <w:rsid w:val="0008085E"/>
    <w:rsid w:val="000851E4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472DF"/>
    <w:rsid w:val="001517DF"/>
    <w:rsid w:val="00153BAA"/>
    <w:rsid w:val="0015500D"/>
    <w:rsid w:val="00164183"/>
    <w:rsid w:val="001642B0"/>
    <w:rsid w:val="00175A9D"/>
    <w:rsid w:val="001923B7"/>
    <w:rsid w:val="00192E78"/>
    <w:rsid w:val="001958FA"/>
    <w:rsid w:val="001A1CEA"/>
    <w:rsid w:val="001B5532"/>
    <w:rsid w:val="001C128D"/>
    <w:rsid w:val="001C532B"/>
    <w:rsid w:val="001C5903"/>
    <w:rsid w:val="001D1E00"/>
    <w:rsid w:val="001E7A9D"/>
    <w:rsid w:val="001F3336"/>
    <w:rsid w:val="002110F5"/>
    <w:rsid w:val="00214F26"/>
    <w:rsid w:val="00230638"/>
    <w:rsid w:val="00234FEB"/>
    <w:rsid w:val="00237B33"/>
    <w:rsid w:val="002407BE"/>
    <w:rsid w:val="00265892"/>
    <w:rsid w:val="00275B2F"/>
    <w:rsid w:val="00284A10"/>
    <w:rsid w:val="00287CF2"/>
    <w:rsid w:val="002A38EE"/>
    <w:rsid w:val="002A512F"/>
    <w:rsid w:val="002B158B"/>
    <w:rsid w:val="002B7BAC"/>
    <w:rsid w:val="002C1E1B"/>
    <w:rsid w:val="002C706A"/>
    <w:rsid w:val="002E1F67"/>
    <w:rsid w:val="002E509D"/>
    <w:rsid w:val="002E6695"/>
    <w:rsid w:val="002F3C2D"/>
    <w:rsid w:val="00302950"/>
    <w:rsid w:val="003060E4"/>
    <w:rsid w:val="0031066B"/>
    <w:rsid w:val="00321C30"/>
    <w:rsid w:val="00323497"/>
    <w:rsid w:val="00323D98"/>
    <w:rsid w:val="003351BD"/>
    <w:rsid w:val="003552CB"/>
    <w:rsid w:val="00380ADB"/>
    <w:rsid w:val="003818ED"/>
    <w:rsid w:val="00384748"/>
    <w:rsid w:val="00390549"/>
    <w:rsid w:val="00393262"/>
    <w:rsid w:val="003977D4"/>
    <w:rsid w:val="003A1A8B"/>
    <w:rsid w:val="003D2B52"/>
    <w:rsid w:val="003D7634"/>
    <w:rsid w:val="003E62D9"/>
    <w:rsid w:val="00401948"/>
    <w:rsid w:val="00402270"/>
    <w:rsid w:val="00404558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BD0"/>
    <w:rsid w:val="00477794"/>
    <w:rsid w:val="004836E8"/>
    <w:rsid w:val="00487903"/>
    <w:rsid w:val="00487983"/>
    <w:rsid w:val="004906BD"/>
    <w:rsid w:val="004A7728"/>
    <w:rsid w:val="004D026C"/>
    <w:rsid w:val="004D14EA"/>
    <w:rsid w:val="004D4325"/>
    <w:rsid w:val="004E071B"/>
    <w:rsid w:val="004E1E5B"/>
    <w:rsid w:val="004E2AF7"/>
    <w:rsid w:val="004E32A4"/>
    <w:rsid w:val="004E529C"/>
    <w:rsid w:val="005144C3"/>
    <w:rsid w:val="005422D0"/>
    <w:rsid w:val="00542609"/>
    <w:rsid w:val="005451C7"/>
    <w:rsid w:val="00551915"/>
    <w:rsid w:val="00560620"/>
    <w:rsid w:val="005616E4"/>
    <w:rsid w:val="00563FBA"/>
    <w:rsid w:val="005829D3"/>
    <w:rsid w:val="005851F2"/>
    <w:rsid w:val="005B7B64"/>
    <w:rsid w:val="005C155D"/>
    <w:rsid w:val="005C1F29"/>
    <w:rsid w:val="005C7B85"/>
    <w:rsid w:val="005C7E1A"/>
    <w:rsid w:val="005D7FA2"/>
    <w:rsid w:val="005E0DC3"/>
    <w:rsid w:val="005E4589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23AD0"/>
    <w:rsid w:val="00654D78"/>
    <w:rsid w:val="00670786"/>
    <w:rsid w:val="00670798"/>
    <w:rsid w:val="006723A9"/>
    <w:rsid w:val="00686A12"/>
    <w:rsid w:val="006931EC"/>
    <w:rsid w:val="0069474E"/>
    <w:rsid w:val="006A5E19"/>
    <w:rsid w:val="006B4C90"/>
    <w:rsid w:val="006B551F"/>
    <w:rsid w:val="006C4AAC"/>
    <w:rsid w:val="006F2AF2"/>
    <w:rsid w:val="006F5586"/>
    <w:rsid w:val="006F5A10"/>
    <w:rsid w:val="00703428"/>
    <w:rsid w:val="00705B5F"/>
    <w:rsid w:val="0071074A"/>
    <w:rsid w:val="00730A9A"/>
    <w:rsid w:val="00732B54"/>
    <w:rsid w:val="0073459B"/>
    <w:rsid w:val="007416E1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C7560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4026"/>
    <w:rsid w:val="008979FC"/>
    <w:rsid w:val="008B044D"/>
    <w:rsid w:val="008C35E3"/>
    <w:rsid w:val="008C3D93"/>
    <w:rsid w:val="008D5E50"/>
    <w:rsid w:val="008D6A66"/>
    <w:rsid w:val="008F01BD"/>
    <w:rsid w:val="00901E56"/>
    <w:rsid w:val="0090210C"/>
    <w:rsid w:val="00904A21"/>
    <w:rsid w:val="00907749"/>
    <w:rsid w:val="009121FA"/>
    <w:rsid w:val="009126FE"/>
    <w:rsid w:val="009138EA"/>
    <w:rsid w:val="00923394"/>
    <w:rsid w:val="00926F37"/>
    <w:rsid w:val="00930584"/>
    <w:rsid w:val="00930C46"/>
    <w:rsid w:val="00962D76"/>
    <w:rsid w:val="00964E1A"/>
    <w:rsid w:val="00973A60"/>
    <w:rsid w:val="00981F4E"/>
    <w:rsid w:val="00985754"/>
    <w:rsid w:val="00985A4F"/>
    <w:rsid w:val="00986885"/>
    <w:rsid w:val="00990D0E"/>
    <w:rsid w:val="009A06D7"/>
    <w:rsid w:val="009A271B"/>
    <w:rsid w:val="009B1F42"/>
    <w:rsid w:val="009B259A"/>
    <w:rsid w:val="009B2831"/>
    <w:rsid w:val="009B67DC"/>
    <w:rsid w:val="009C41BB"/>
    <w:rsid w:val="009F3CF2"/>
    <w:rsid w:val="009F6B48"/>
    <w:rsid w:val="00A06E33"/>
    <w:rsid w:val="00A12364"/>
    <w:rsid w:val="00A15413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7045D"/>
    <w:rsid w:val="00A70B0E"/>
    <w:rsid w:val="00A81AA5"/>
    <w:rsid w:val="00A917F0"/>
    <w:rsid w:val="00A927DA"/>
    <w:rsid w:val="00A93A02"/>
    <w:rsid w:val="00A976F1"/>
    <w:rsid w:val="00AA7F96"/>
    <w:rsid w:val="00AB1C1C"/>
    <w:rsid w:val="00AB7A08"/>
    <w:rsid w:val="00AC17AB"/>
    <w:rsid w:val="00AC438A"/>
    <w:rsid w:val="00AC58A7"/>
    <w:rsid w:val="00AC709F"/>
    <w:rsid w:val="00AE7217"/>
    <w:rsid w:val="00AF1C2E"/>
    <w:rsid w:val="00B00010"/>
    <w:rsid w:val="00B102F2"/>
    <w:rsid w:val="00B2771E"/>
    <w:rsid w:val="00B370D2"/>
    <w:rsid w:val="00B51E1C"/>
    <w:rsid w:val="00B60D9D"/>
    <w:rsid w:val="00B62B2A"/>
    <w:rsid w:val="00B65086"/>
    <w:rsid w:val="00B67F31"/>
    <w:rsid w:val="00B82038"/>
    <w:rsid w:val="00B83E46"/>
    <w:rsid w:val="00B9432C"/>
    <w:rsid w:val="00BB7F62"/>
    <w:rsid w:val="00BC4B95"/>
    <w:rsid w:val="00BD318B"/>
    <w:rsid w:val="00BD502F"/>
    <w:rsid w:val="00BE1F98"/>
    <w:rsid w:val="00C13045"/>
    <w:rsid w:val="00C146D9"/>
    <w:rsid w:val="00C215CF"/>
    <w:rsid w:val="00C242D9"/>
    <w:rsid w:val="00C33414"/>
    <w:rsid w:val="00C506B5"/>
    <w:rsid w:val="00C5499A"/>
    <w:rsid w:val="00C55DEE"/>
    <w:rsid w:val="00C648C1"/>
    <w:rsid w:val="00C66CA2"/>
    <w:rsid w:val="00C70FD6"/>
    <w:rsid w:val="00C711EA"/>
    <w:rsid w:val="00C76AB9"/>
    <w:rsid w:val="00C77B91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173"/>
    <w:rsid w:val="00CE43B3"/>
    <w:rsid w:val="00CE4B5F"/>
    <w:rsid w:val="00CE6024"/>
    <w:rsid w:val="00CE6272"/>
    <w:rsid w:val="00CF0812"/>
    <w:rsid w:val="00CF101E"/>
    <w:rsid w:val="00CF19D9"/>
    <w:rsid w:val="00CF5292"/>
    <w:rsid w:val="00CF6E1A"/>
    <w:rsid w:val="00D063AD"/>
    <w:rsid w:val="00D44CF9"/>
    <w:rsid w:val="00D54F24"/>
    <w:rsid w:val="00D61912"/>
    <w:rsid w:val="00D76219"/>
    <w:rsid w:val="00D84A08"/>
    <w:rsid w:val="00D84C08"/>
    <w:rsid w:val="00D87922"/>
    <w:rsid w:val="00D9434B"/>
    <w:rsid w:val="00DA0B9B"/>
    <w:rsid w:val="00DA1A44"/>
    <w:rsid w:val="00DA3CBA"/>
    <w:rsid w:val="00DA4882"/>
    <w:rsid w:val="00DB7227"/>
    <w:rsid w:val="00DE79CB"/>
    <w:rsid w:val="00DF6FC3"/>
    <w:rsid w:val="00E005F1"/>
    <w:rsid w:val="00E054EF"/>
    <w:rsid w:val="00E071DA"/>
    <w:rsid w:val="00E2365E"/>
    <w:rsid w:val="00E2482E"/>
    <w:rsid w:val="00E255A4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C3934"/>
    <w:rsid w:val="00EC4262"/>
    <w:rsid w:val="00EF262B"/>
    <w:rsid w:val="00EF3F8A"/>
    <w:rsid w:val="00F01A81"/>
    <w:rsid w:val="00F14A05"/>
    <w:rsid w:val="00F17E5D"/>
    <w:rsid w:val="00F245D5"/>
    <w:rsid w:val="00F26985"/>
    <w:rsid w:val="00F351E8"/>
    <w:rsid w:val="00F37AFB"/>
    <w:rsid w:val="00F46FDA"/>
    <w:rsid w:val="00F643A2"/>
    <w:rsid w:val="00F644D5"/>
    <w:rsid w:val="00F734B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  <w:rsid w:val="00FE57E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11DDEE4-CD4E-4129-893E-93A8F0A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39"/>
    <w:rsid w:val="00C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5E2B-16DF-4296-9D46-E45C67A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2722</Words>
  <Characters>18787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Benkovics Gábor</cp:lastModifiedBy>
  <cp:revision>2</cp:revision>
  <cp:lastPrinted>2017-03-16T13:55:00Z</cp:lastPrinted>
  <dcterms:created xsi:type="dcterms:W3CDTF">2017-03-19T10:33:00Z</dcterms:created>
  <dcterms:modified xsi:type="dcterms:W3CDTF">2017-03-19T10:33:00Z</dcterms:modified>
</cp:coreProperties>
</file>