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Pr="00390549" w:rsidRDefault="0031066B" w:rsidP="0031066B">
      <w:pPr>
        <w:pStyle w:val="Cm"/>
        <w:rPr>
          <w:rFonts w:ascii="Times New Roman" w:hAnsi="Times New Roman" w:cs="Times New Roman"/>
        </w:rPr>
      </w:pPr>
    </w:p>
    <w:p w:rsidR="0031066B" w:rsidRPr="00390549" w:rsidRDefault="005E0DC3" w:rsidP="0031066B">
      <w:pPr>
        <w:pStyle w:val="Cm"/>
        <w:rPr>
          <w:rFonts w:ascii="Times New Roman" w:hAnsi="Times New Roman" w:cs="Times New Roman"/>
          <w:b/>
          <w:sz w:val="36"/>
        </w:rPr>
      </w:pPr>
      <w:r w:rsidRPr="00390549">
        <w:rPr>
          <w:rFonts w:ascii="Times New Roman" w:hAnsi="Times New Roman" w:cs="Times New Roman"/>
          <w:b/>
          <w:sz w:val="36"/>
        </w:rPr>
        <w:t>E</w:t>
      </w:r>
      <w:r w:rsidR="0031066B" w:rsidRPr="00390549">
        <w:rPr>
          <w:rFonts w:ascii="Times New Roman" w:hAnsi="Times New Roman" w:cs="Times New Roman"/>
          <w:b/>
          <w:sz w:val="36"/>
        </w:rPr>
        <w:t>nergiamegtakarítási intézkedési terv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AC0980" w:rsidP="00323497">
      <w:pPr>
        <w:jc w:val="center"/>
        <w:rPr>
          <w:rFonts w:ascii="Times New Roman" w:hAnsi="Times New Roman" w:cs="Times New Roman"/>
        </w:rPr>
      </w:pPr>
      <w:r w:rsidRPr="00AC0980">
        <w:rPr>
          <w:rFonts w:ascii="Times New Roman" w:hAnsi="Times New Roman" w:cs="Times New Roman"/>
        </w:rPr>
        <w:t>Esély Szociális Társulás Szociális és Gyermekjóléti Központ Gyermekjóléti Szolgálat</w:t>
      </w:r>
      <w:r>
        <w:rPr>
          <w:rFonts w:ascii="Times New Roman" w:hAnsi="Times New Roman" w:cs="Times New Roman"/>
        </w:rPr>
        <w:t xml:space="preserve"> </w:t>
      </w:r>
      <w:r w:rsidR="003D2B52">
        <w:rPr>
          <w:rFonts w:ascii="Times New Roman" w:hAnsi="Times New Roman" w:cs="Times New Roman"/>
        </w:rPr>
        <w:t xml:space="preserve">2040 Budaörs, </w:t>
      </w:r>
      <w:r>
        <w:rPr>
          <w:rFonts w:ascii="Times New Roman" w:hAnsi="Times New Roman" w:cs="Times New Roman"/>
        </w:rPr>
        <w:t xml:space="preserve">Petőfi S. </w:t>
      </w:r>
      <w:proofErr w:type="gramStart"/>
      <w:r>
        <w:rPr>
          <w:rFonts w:ascii="Times New Roman" w:hAnsi="Times New Roman" w:cs="Times New Roman"/>
        </w:rPr>
        <w:t>u.</w:t>
      </w:r>
      <w:proofErr w:type="gramEnd"/>
      <w:r>
        <w:rPr>
          <w:rFonts w:ascii="Times New Roman" w:hAnsi="Times New Roman" w:cs="Times New Roman"/>
        </w:rPr>
        <w:t xml:space="preserve"> 1</w:t>
      </w:r>
      <w:r w:rsidR="003D2B52">
        <w:rPr>
          <w:rFonts w:ascii="Times New Roman" w:hAnsi="Times New Roman" w:cs="Times New Roman"/>
        </w:rPr>
        <w:t>.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március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31066B" w:rsidRPr="00390549" w:rsidRDefault="0031066B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762871653"/>
        <w:docPartObj>
          <w:docPartGallery w:val="Table of Contents"/>
          <w:docPartUnique/>
        </w:docPartObj>
      </w:sdtPr>
      <w:sdtEndPr/>
      <w:sdtContent>
        <w:p w:rsidR="00487983" w:rsidRPr="00390549" w:rsidRDefault="00487983">
          <w:pPr>
            <w:pStyle w:val="Tartalomjegyzkcmsor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:rsidR="0031066B" w:rsidRPr="00390549" w:rsidRDefault="0031066B">
          <w:pPr>
            <w:pStyle w:val="Tartalomjegyzkcmsora"/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t>Tartalomjegyzék</w:t>
          </w: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  <w:bookmarkStart w:id="0" w:name="_GoBack"/>
        </w:p>
        <w:bookmarkEnd w:id="0"/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CE7F45" w:rsidRDefault="00534EA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r w:rsidRPr="00390549">
            <w:rPr>
              <w:rFonts w:ascii="Times New Roman" w:hAnsi="Times New Roman" w:cs="Times New Roman"/>
            </w:rPr>
            <w:fldChar w:fldCharType="begin"/>
          </w:r>
          <w:r w:rsidR="001E7A9D" w:rsidRPr="00390549">
            <w:rPr>
              <w:rFonts w:ascii="Times New Roman" w:hAnsi="Times New Roman" w:cs="Times New Roman"/>
            </w:rPr>
            <w:instrText xml:space="preserve"> TOC \o "1-3" \h \z \u </w:instrText>
          </w:r>
          <w:r w:rsidRPr="00390549">
            <w:rPr>
              <w:rFonts w:ascii="Times New Roman" w:hAnsi="Times New Roman" w:cs="Times New Roman"/>
            </w:rPr>
            <w:fldChar w:fldCharType="separate"/>
          </w:r>
          <w:hyperlink w:anchor="_Toc477642410" w:history="1"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Vezetői összefoglaló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_Toc477642410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 w:rsidR="00161C13">
              <w:rPr>
                <w:noProof/>
                <w:webHidden/>
              </w:rPr>
              <w:t>3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1" w:history="1">
            <w:r w:rsidR="00CE7F45" w:rsidRPr="00AE304D">
              <w:rPr>
                <w:rStyle w:val="Hiperhivatkozs"/>
                <w:noProof/>
              </w:rPr>
              <w:t>1.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Az épület/épületegyüttes alapadatai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_Toc477642411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2" w:history="1">
            <w:r w:rsidR="00CE7F45" w:rsidRPr="00AE304D">
              <w:rPr>
                <w:rStyle w:val="Hiperhivatkozs"/>
                <w:noProof/>
              </w:rPr>
              <w:t>2.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Energiamegtakarítási intézkedési lehetőségek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_Toc477642412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3" w:history="1"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Beruházást nem igénylő beavatkozások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_Toc477642413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4" w:history="1"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2.2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Minimális ráfordítást igénylő beavatkozások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_Toc477642414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5" w:history="1"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2.3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Beruházást igénylő intézkedések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_Toc477642415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6" w:history="1">
            <w:r w:rsidR="00CE7F45" w:rsidRPr="00AE304D">
              <w:rPr>
                <w:rStyle w:val="Hiperhivatkozs"/>
                <w:noProof/>
              </w:rPr>
              <w:t>3.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Megvalósított intézkedések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_Toc477642416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7" w:history="1">
            <w:r w:rsidR="00CE7F45" w:rsidRPr="00AE304D">
              <w:rPr>
                <w:rStyle w:val="Hiperhivatkozs"/>
                <w:noProof/>
              </w:rPr>
              <w:t>4.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Megvalósítandó intézkedések meghatározása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_Toc477642417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CE7F45" w:rsidRDefault="00161C13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42418" w:history="1">
            <w:r w:rsidR="00CE7F45" w:rsidRPr="00AE304D">
              <w:rPr>
                <w:rStyle w:val="Hiperhivatkozs"/>
                <w:noProof/>
              </w:rPr>
              <w:t>5.</w:t>
            </w:r>
            <w:r w:rsidR="00CE7F45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CE7F45" w:rsidRPr="00AE304D">
              <w:rPr>
                <w:rStyle w:val="Hiperhivatkozs"/>
                <w:rFonts w:ascii="Times New Roman" w:hAnsi="Times New Roman" w:cs="Times New Roman"/>
                <w:noProof/>
              </w:rPr>
              <w:t>A végrehajtás nyomon követése</w:t>
            </w:r>
            <w:r w:rsidR="00CE7F45">
              <w:rPr>
                <w:noProof/>
                <w:webHidden/>
              </w:rPr>
              <w:tab/>
            </w:r>
            <w:r w:rsidR="00CE7F45">
              <w:rPr>
                <w:noProof/>
                <w:webHidden/>
              </w:rPr>
              <w:fldChar w:fldCharType="begin"/>
            </w:r>
            <w:r w:rsidR="00CE7F45">
              <w:rPr>
                <w:noProof/>
                <w:webHidden/>
              </w:rPr>
              <w:instrText xml:space="preserve"> PAGEREF _Toc477642418 \h </w:instrText>
            </w:r>
            <w:r w:rsidR="00CE7F45">
              <w:rPr>
                <w:noProof/>
                <w:webHidden/>
              </w:rPr>
            </w:r>
            <w:r w:rsidR="00CE7F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E7F45">
              <w:rPr>
                <w:noProof/>
                <w:webHidden/>
              </w:rPr>
              <w:fldChar w:fldCharType="end"/>
            </w:r>
          </w:hyperlink>
        </w:p>
        <w:p w:rsidR="0031066B" w:rsidRPr="00390549" w:rsidRDefault="00534EA1">
          <w:pPr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fldChar w:fldCharType="end"/>
          </w:r>
        </w:p>
      </w:sdtContent>
    </w:sdt>
    <w:p w:rsidR="00CA05F7" w:rsidRPr="00390549" w:rsidRDefault="0031066B" w:rsidP="0031066B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spacing w:val="-10"/>
          <w:kern w:val="28"/>
          <w:sz w:val="32"/>
          <w:szCs w:val="56"/>
        </w:rPr>
      </w:pPr>
      <w:r w:rsidRPr="00390549">
        <w:rPr>
          <w:rFonts w:ascii="Times New Roman" w:hAnsi="Times New Roman" w:cs="Times New Roman"/>
        </w:rPr>
        <w:br w:type="page"/>
      </w:r>
    </w:p>
    <w:p w:rsidR="000D0930" w:rsidRPr="00390549" w:rsidRDefault="00323D98" w:rsidP="00390549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1" w:name="_Toc477642410"/>
      <w:r w:rsidRPr="00390549">
        <w:rPr>
          <w:rFonts w:ascii="Times New Roman" w:hAnsi="Times New Roman" w:cs="Times New Roman"/>
        </w:rPr>
        <w:t>Vezetői összefoglaló</w:t>
      </w:r>
      <w:bookmarkEnd w:id="1"/>
      <w:r w:rsidRPr="00390549">
        <w:rPr>
          <w:rFonts w:ascii="Times New Roman" w:hAnsi="Times New Roman" w:cs="Times New Roman"/>
        </w:rPr>
        <w:t xml:space="preserve"> </w:t>
      </w:r>
    </w:p>
    <w:p w:rsidR="0090210C" w:rsidRPr="00390549" w:rsidRDefault="0090210C" w:rsidP="00390549">
      <w:pPr>
        <w:ind w:left="0"/>
        <w:rPr>
          <w:rFonts w:ascii="Times New Roman" w:hAnsi="Times New Roman" w:cs="Times New Roman"/>
        </w:rPr>
      </w:pPr>
    </w:p>
    <w:p w:rsidR="002407BE" w:rsidRDefault="00323D98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Az </w:t>
      </w:r>
      <w:r w:rsidR="002407BE">
        <w:rPr>
          <w:rFonts w:ascii="Times New Roman" w:hAnsi="Times New Roman" w:cs="Times New Roman"/>
        </w:rPr>
        <w:t>energiamegtakarítási intézkedési terv készítése során az intézmények rendelkezésre álló energiafogyasztási adatai, a korábbi évek beruházásai, valamint a helyszíni bejárások során összegyűjtött adatok kerültek feldolgozásra.</w:t>
      </w:r>
    </w:p>
    <w:p w:rsidR="002407BE" w:rsidRDefault="002407BE" w:rsidP="00390549">
      <w:pPr>
        <w:ind w:left="0"/>
        <w:rPr>
          <w:rFonts w:ascii="Times New Roman" w:hAnsi="Times New Roman" w:cs="Times New Roman"/>
        </w:rPr>
      </w:pPr>
    </w:p>
    <w:p w:rsidR="006F2AF2" w:rsidRDefault="002407BE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begyűjtött adatok alapján elmondható, hogy </w:t>
      </w:r>
      <w:r w:rsidR="006F2AF2">
        <w:rPr>
          <w:rFonts w:ascii="Times New Roman" w:hAnsi="Times New Roman" w:cs="Times New Roman"/>
        </w:rPr>
        <w:t>energia megtakarítást eredményező feladatok</w:t>
      </w:r>
      <w:r>
        <w:rPr>
          <w:rFonts w:ascii="Times New Roman" w:hAnsi="Times New Roman" w:cs="Times New Roman"/>
        </w:rPr>
        <w:t xml:space="preserve"> </w:t>
      </w:r>
      <w:r w:rsidR="006F2AF2">
        <w:rPr>
          <w:rFonts w:ascii="Times New Roman" w:hAnsi="Times New Roman" w:cs="Times New Roman"/>
        </w:rPr>
        <w:t xml:space="preserve">hatékony elvégzéséhez </w:t>
      </w:r>
      <w:r>
        <w:rPr>
          <w:rFonts w:ascii="Times New Roman" w:hAnsi="Times New Roman" w:cs="Times New Roman"/>
        </w:rPr>
        <w:t>mindenképpen szükséges az intézmények energetikai auditálása</w:t>
      </w:r>
      <w:r w:rsidR="006F2AF2">
        <w:rPr>
          <w:rFonts w:ascii="Times New Roman" w:hAnsi="Times New Roman" w:cs="Times New Roman"/>
        </w:rPr>
        <w:t>, valamint az intézményekre vonatkozó adatok rendszeres gyűjtésére és kontrollálására</w:t>
      </w:r>
      <w:r w:rsidR="003D2B52">
        <w:rPr>
          <w:rFonts w:ascii="Times New Roman" w:hAnsi="Times New Roman" w:cs="Times New Roman"/>
        </w:rPr>
        <w:t>,</w:t>
      </w:r>
      <w:r w:rsidR="006F2AF2">
        <w:rPr>
          <w:rFonts w:ascii="Times New Roman" w:hAnsi="Times New Roman" w:cs="Times New Roman"/>
        </w:rPr>
        <w:t xml:space="preserve"> energetikus végzettséggel rendelkező szakember által.</w:t>
      </w:r>
    </w:p>
    <w:p w:rsidR="006F2AF2" w:rsidRDefault="006F2AF2" w:rsidP="00390549">
      <w:pPr>
        <w:ind w:left="0"/>
        <w:rPr>
          <w:rFonts w:ascii="Times New Roman" w:hAnsi="Times New Roman" w:cs="Times New Roman"/>
        </w:rPr>
      </w:pPr>
    </w:p>
    <w:p w:rsidR="00CF101E" w:rsidRDefault="006F2AF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101E">
        <w:rPr>
          <w:rFonts w:ascii="Times New Roman" w:hAnsi="Times New Roman" w:cs="Times New Roman"/>
        </w:rPr>
        <w:t>A felmérés végzése során jelentős gondot okozott, hogy az intézményekre vonatkozó adatok nem egy helyen, hanem különböző szervezeti egységeknél, esetleg az intézménynél voltak megtalálhatók.</w:t>
      </w:r>
    </w:p>
    <w:p w:rsidR="00CF101E" w:rsidRDefault="00CF101E" w:rsidP="00390549">
      <w:pPr>
        <w:ind w:left="0"/>
        <w:rPr>
          <w:rFonts w:ascii="Times New Roman" w:hAnsi="Times New Roman" w:cs="Times New Roman"/>
        </w:rPr>
      </w:pPr>
    </w:p>
    <w:p w:rsidR="00CF101E" w:rsidRDefault="00964E1A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Figyelembe véve, hogy az intézkedési terv készítésre kötelezett intézmények többsége oktatási-nevelési intézmény, ezért az energiamegtakarítási lehetőségek közül kiemelt szerep jut a szemléletformálásnak, mely során nem csak az intézményeknél érhető el energia megtakarítás.</w:t>
      </w:r>
    </w:p>
    <w:p w:rsidR="00964E1A" w:rsidRDefault="00964E1A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964E1A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</w:t>
      </w:r>
      <w:r w:rsidR="005451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éven belül kerülhetnek megvalósításra, és az intézmény éves energiafogyasztásának 7-10 %-os megtakarítást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beavatkozások rendszerezése s</w:t>
      </w:r>
      <w:r w:rsidR="002110F5">
        <w:rPr>
          <w:rFonts w:ascii="Times New Roman" w:hAnsi="Times New Roman" w:cs="Times New Roman"/>
        </w:rPr>
        <w:t>orán az alábbiak kerültek megállapításra: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Erősségek: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 Város Önkormányzatának elkötelezettsége a Fenntarthatóság mellett, a Fenntartható Energia Cselekvési Tervben foglaltak folyamatos végrehajtása. A korábbi években szerzett tapasztalatok, mind a beruházások (intézmény-felújítások), mind a pályázatok (KMOP-3.3.3.) terén.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Gyengeségek:</w:t>
      </w:r>
    </w:p>
    <w:p w:rsidR="002110F5" w:rsidRPr="00EC4262" w:rsidRDefault="00EC426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energetikai adatok több szervezeti egységnél kerülnek begyűjtésre, szétválik az üzemeltetése, az intézmény-felújítás és az energia-beszerzés. A szervezeti egységek nem érik el közvetlenül a másik egység által tárolt adatok, illetve nincs információjuk a másik szervezeti egységnél rendelkezésre álló adatokról. Az energia-megtakarítási beavatkozásokat hatékonyan irányító tudó</w:t>
      </w:r>
      <w:r w:rsidR="009C41BB">
        <w:rPr>
          <w:rFonts w:ascii="Times New Roman" w:hAnsi="Times New Roman" w:cs="Times New Roman"/>
        </w:rPr>
        <w:t xml:space="preserve"> energetikus</w:t>
      </w:r>
      <w:r>
        <w:rPr>
          <w:rFonts w:ascii="Times New Roman" w:hAnsi="Times New Roman" w:cs="Times New Roman"/>
        </w:rPr>
        <w:t xml:space="preserve"> végzettséggel rendelkező szakember hiánya</w:t>
      </w:r>
      <w:r w:rsidR="009C41BB">
        <w:rPr>
          <w:rFonts w:ascii="Times New Roman" w:hAnsi="Times New Roman" w:cs="Times New Roman"/>
        </w:rPr>
        <w:t>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Lehetőségek: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energia-megtakarítást eredményező, valamint a megújuló energia felhasználását támogató pályázati források elérése. Egységes épületfelügyeleti rendszer kiépítése.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Fenyegetések/veszélyek: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Egységes épületfelügyeleti rendszer hiányában az azonnali beavatkozási igénylő feladatok elmaradása. A jelentős energia megtakarítást eredményező beruházások elmaradása forráshiány miatt.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C1F29" w:rsidRPr="00390549" w:rsidRDefault="005C1F29" w:rsidP="00323D98">
      <w:pPr>
        <w:rPr>
          <w:rFonts w:ascii="Times New Roman" w:hAnsi="Times New Roman" w:cs="Times New Roman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 w:rsidR="005422D0" w:rsidRPr="00390549" w:rsidTr="005E4589">
        <w:trPr>
          <w:trHeight w:val="105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Erősség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 korábbi beruházások során szerzett szakmai tapasztalatok.</w:t>
            </w:r>
            <w:r w:rsidR="00964E1A">
              <w:rPr>
                <w:rFonts w:ascii="Times New Roman" w:hAnsi="Times New Roman" w:cs="Times New Roman"/>
              </w:rPr>
              <w:t xml:space="preserve"> A fenntarthatóság iránti elkötelezettség.</w:t>
            </w:r>
            <w:r w:rsidR="00545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51C7">
              <w:rPr>
                <w:rFonts w:ascii="Times New Roman" w:hAnsi="Times New Roman" w:cs="Times New Roman"/>
              </w:rPr>
              <w:t>SEAP-ban</w:t>
            </w:r>
            <w:proofErr w:type="spellEnd"/>
            <w:r w:rsidR="005451C7">
              <w:rPr>
                <w:rFonts w:ascii="Times New Roman" w:hAnsi="Times New Roman" w:cs="Times New Roman"/>
              </w:rPr>
              <w:t xml:space="preserve"> foglaltak végrehajtása.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Gyengeség</w:t>
            </w:r>
          </w:p>
          <w:p w:rsidR="005422D0" w:rsidRPr="00390549" w:rsidRDefault="00393262" w:rsidP="00393262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Az energetikai adatok nem egy helyen való gyűjtése. A szervezeti felépítésből adódó információ-áramlási problémák. Energetikus hiánya.</w:t>
            </w:r>
            <w:r w:rsidR="007C5023" w:rsidRPr="00390549" w:rsidDel="00EF26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422D0" w:rsidRPr="00390549" w:rsidTr="005E4589">
        <w:trPr>
          <w:trHeight w:val="11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Lehetőség</w:t>
            </w:r>
          </w:p>
          <w:p w:rsidR="009C41BB" w:rsidRPr="009C41BB" w:rsidRDefault="00393262" w:rsidP="009C41BB">
            <w:pPr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Energiamegtakarítási és megújuló energiák alkalmazását támogat</w:t>
            </w:r>
            <w:r w:rsidR="009C41BB">
              <w:rPr>
                <w:rFonts w:ascii="Times New Roman" w:hAnsi="Times New Roman" w:cs="Times New Roman"/>
              </w:rPr>
              <w:t>ó pályázati források elnyerése. Egységes épületfelügyeleti rendszer kiépítése.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E0DC3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Fenyegetések/v</w:t>
            </w:r>
            <w:r w:rsidR="005422D0" w:rsidRPr="00390549">
              <w:rPr>
                <w:rFonts w:ascii="Times New Roman" w:hAnsi="Times New Roman" w:cs="Times New Roman"/>
                <w:b/>
                <w:bCs/>
              </w:rPr>
              <w:t>eszély</w:t>
            </w:r>
            <w:r w:rsidRPr="00390549">
              <w:rPr>
                <w:rFonts w:ascii="Times New Roman" w:hAnsi="Times New Roman" w:cs="Times New Roman"/>
                <w:b/>
                <w:bCs/>
              </w:rPr>
              <w:t>ek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Egységes épületfelügyeleti rendszer hiánya. A beruházások megvalósításához szükséges források hiánya.</w:t>
            </w:r>
          </w:p>
        </w:tc>
      </w:tr>
    </w:tbl>
    <w:p w:rsidR="00323D98" w:rsidRPr="00390549" w:rsidRDefault="00323D98" w:rsidP="00FD53CC">
      <w:pPr>
        <w:rPr>
          <w:rFonts w:ascii="Times New Roman" w:hAnsi="Times New Roman" w:cs="Times New Roman"/>
        </w:rPr>
      </w:pPr>
    </w:p>
    <w:p w:rsidR="00FA48A9" w:rsidRDefault="00FA48A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Ötéves intézkedési terv megvalósítani kívánt energia megtakarítási intézkedései: 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5E4589" w:rsidRPr="00E92CE3" w:rsidTr="005E4589">
        <w:trPr>
          <w:jc w:val="center"/>
        </w:trPr>
        <w:tc>
          <w:tcPr>
            <w:tcW w:w="248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545BD" w:rsidRPr="00390549" w:rsidTr="005E4589">
        <w:trPr>
          <w:jc w:val="center"/>
        </w:trPr>
        <w:tc>
          <w:tcPr>
            <w:tcW w:w="2482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26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545BD" w:rsidRDefault="00B545BD" w:rsidP="00B545BD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5E4589">
        <w:trPr>
          <w:jc w:val="center"/>
        </w:trPr>
        <w:tc>
          <w:tcPr>
            <w:tcW w:w="2482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i szezonban)</w:t>
            </w:r>
          </w:p>
        </w:tc>
        <w:tc>
          <w:tcPr>
            <w:tcW w:w="1190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26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545BD" w:rsidRDefault="00B545BD" w:rsidP="00B545BD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5E4589">
        <w:trPr>
          <w:jc w:val="center"/>
        </w:trPr>
        <w:tc>
          <w:tcPr>
            <w:tcW w:w="2482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545BD" w:rsidRDefault="00B545BD" w:rsidP="00B545BD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5E4589">
        <w:trPr>
          <w:jc w:val="center"/>
        </w:trPr>
        <w:tc>
          <w:tcPr>
            <w:tcW w:w="2482" w:type="pct"/>
          </w:tcPr>
          <w:p w:rsidR="00B545BD" w:rsidRDefault="00B545BD" w:rsidP="00B545BD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B545BD" w:rsidRDefault="00B545BD" w:rsidP="00B545BD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B545BD" w:rsidRDefault="00B545BD" w:rsidP="00B545BD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B545BD" w:rsidRPr="00390549" w:rsidRDefault="00B545BD" w:rsidP="00B545BD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1190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B545BD" w:rsidRDefault="00B545BD" w:rsidP="00B545BD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5E4589">
        <w:trPr>
          <w:jc w:val="center"/>
        </w:trPr>
        <w:tc>
          <w:tcPr>
            <w:tcW w:w="2482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lekötött teljesítmények csökkentésének lehetőségei, szolgáltatói szerződések felülvizsgálata</w:t>
            </w:r>
          </w:p>
        </w:tc>
        <w:tc>
          <w:tcPr>
            <w:tcW w:w="1190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26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2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5E4589" w:rsidRDefault="005E458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2144"/>
        <w:gridCol w:w="1141"/>
        <w:gridCol w:w="1287"/>
      </w:tblGrid>
      <w:tr w:rsidR="00CE4173" w:rsidRPr="000714FE" w:rsidTr="00CE4173">
        <w:trPr>
          <w:jc w:val="center"/>
        </w:trPr>
        <w:tc>
          <w:tcPr>
            <w:tcW w:w="2539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15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1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93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390549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5-10%</w:t>
            </w:r>
          </w:p>
        </w:tc>
        <w:tc>
          <w:tcPr>
            <w:tcW w:w="614" w:type="pct"/>
          </w:tcPr>
          <w:p w:rsidR="00B545BD" w:rsidRPr="00183BD6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B545BD" w:rsidRPr="00183BD6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Intézmény</w:t>
            </w:r>
          </w:p>
          <w:p w:rsidR="00B545BD" w:rsidRPr="00183BD6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üzemeltetés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6E4975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Műanyag </w:t>
            </w:r>
            <w:r w:rsidRPr="006E4975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huzatfogó kefe felszere</w:t>
            </w:r>
            <w:r>
              <w:rPr>
                <w:rFonts w:ascii="Times New Roman" w:hAnsi="Times New Roman"/>
                <w:i/>
                <w:szCs w:val="24"/>
              </w:rPr>
              <w:t>lése, ajtócsukó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,</w:t>
            </w:r>
            <w:r w:rsidRPr="006E4975">
              <w:rPr>
                <w:rFonts w:ascii="Times New Roman" w:hAnsi="Times New Roman"/>
                <w:i/>
                <w:szCs w:val="24"/>
              </w:rPr>
              <w:t>télen</w:t>
            </w:r>
            <w:proofErr w:type="gramEnd"/>
            <w:r w:rsidRPr="006E4975">
              <w:rPr>
                <w:rFonts w:ascii="Times New Roman" w:hAnsi="Times New Roman"/>
                <w:i/>
                <w:szCs w:val="24"/>
              </w:rPr>
              <w:t xml:space="preserve"> textilfüggöny felszerel</w:t>
            </w:r>
            <w:r>
              <w:rPr>
                <w:rFonts w:ascii="Times New Roman" w:hAnsi="Times New Roman"/>
                <w:i/>
                <w:szCs w:val="24"/>
              </w:rPr>
              <w:t>ése.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B545BD" w:rsidRDefault="00B545BD" w:rsidP="00B545BD">
            <w:pPr>
              <w:ind w:left="0"/>
              <w:jc w:val="center"/>
            </w:pPr>
            <w:r w:rsidRPr="00C255B4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6E4975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Fa Bejárati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ajtók  passzítása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, záródások javítása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B545BD" w:rsidRDefault="00B545BD" w:rsidP="00B545BD">
            <w:pPr>
              <w:ind w:left="0"/>
              <w:jc w:val="center"/>
            </w:pPr>
            <w:r w:rsidRPr="00C255B4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(ahol nem készült)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A80B42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545BD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390549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Cs w:val="24"/>
              </w:rPr>
              <w:t>LEDes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 fénycsövekre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és lámpákra csere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614" w:type="pct"/>
          </w:tcPr>
          <w:p w:rsidR="00B545BD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6E4975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E4975">
              <w:rPr>
                <w:rFonts w:ascii="Times New Roman" w:hAnsi="Times New Roman"/>
                <w:i/>
                <w:szCs w:val="24"/>
              </w:rPr>
              <w:t>fűtési rendszer beszabályozása;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t</w:t>
            </w:r>
            <w:r w:rsidRPr="006E4975">
              <w:rPr>
                <w:rFonts w:ascii="Times New Roman" w:hAnsi="Times New Roman"/>
                <w:i/>
                <w:szCs w:val="24"/>
              </w:rPr>
              <w:t>ermo</w:t>
            </w:r>
            <w:r>
              <w:rPr>
                <w:rFonts w:ascii="Times New Roman" w:hAnsi="Times New Roman"/>
                <w:i/>
                <w:szCs w:val="24"/>
              </w:rPr>
              <w:t xml:space="preserve">sztatikus </w:t>
            </w:r>
            <w:r w:rsidRPr="006E4975">
              <w:rPr>
                <w:rFonts w:ascii="Times New Roman" w:hAnsi="Times New Roman"/>
                <w:i/>
                <w:szCs w:val="24"/>
              </w:rPr>
              <w:t xml:space="preserve"> szelepek</w:t>
            </w:r>
            <w:proofErr w:type="gramEnd"/>
            <w:r w:rsidRPr="006E4975">
              <w:rPr>
                <w:rFonts w:ascii="Times New Roman" w:hAnsi="Times New Roman"/>
                <w:i/>
                <w:szCs w:val="24"/>
              </w:rPr>
              <w:t xml:space="preserve"> a hiányzó   radiátorokra 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4C27B4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4C27B4">
              <w:rPr>
                <w:rFonts w:ascii="Times New Roman" w:hAnsi="Times New Roman"/>
                <w:i/>
                <w:szCs w:val="24"/>
              </w:rPr>
              <w:t>energiatakarékos berendezések (számítógépek, monitorok, hűtő, stb.) beszerzése, a meglévő berendezések használata során az energiatakarékos használatra való törekvés (</w:t>
            </w:r>
            <w:proofErr w:type="gramStart"/>
            <w:r w:rsidRPr="004C27B4">
              <w:rPr>
                <w:rFonts w:ascii="Times New Roman" w:hAnsi="Times New Roman"/>
                <w:i/>
                <w:szCs w:val="24"/>
              </w:rPr>
              <w:t>pl.  monitor</w:t>
            </w:r>
            <w:proofErr w:type="gramEnd"/>
            <w:r w:rsidRPr="004C27B4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E13E99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E99">
              <w:rPr>
                <w:rFonts w:ascii="Times New Roman" w:hAnsi="Times New Roman"/>
                <w:i/>
                <w:szCs w:val="24"/>
              </w:rPr>
      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nyereséget.</w:t>
            </w:r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  <w:tr w:rsidR="00B545BD" w:rsidRPr="00390549" w:rsidTr="00CE4173">
        <w:trPr>
          <w:jc w:val="center"/>
        </w:trPr>
        <w:tc>
          <w:tcPr>
            <w:tcW w:w="2539" w:type="pct"/>
          </w:tcPr>
          <w:p w:rsidR="00B545BD" w:rsidRPr="006E4975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Gázkazán cseréje kondenzációsra a teljes fűtési rendszer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átmosásával .</w:t>
            </w:r>
            <w:proofErr w:type="gramEnd"/>
          </w:p>
        </w:tc>
        <w:tc>
          <w:tcPr>
            <w:tcW w:w="115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14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</w:tbl>
    <w:p w:rsidR="007C5023" w:rsidRPr="00390549" w:rsidRDefault="007C5023" w:rsidP="00FA48A9">
      <w:pPr>
        <w:rPr>
          <w:rFonts w:ascii="Times New Roman" w:hAnsi="Times New Roman" w:cs="Times New Roman"/>
        </w:rPr>
      </w:pPr>
    </w:p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Beruházással járó intézkedések</w:t>
            </w:r>
          </w:p>
        </w:tc>
        <w:tc>
          <w:tcPr>
            <w:tcW w:w="1452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 xml:space="preserve">éves 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  <w:tc>
          <w:tcPr>
            <w:tcW w:w="725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CE4173" w:rsidRDefault="00FA48A9" w:rsidP="000241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1452" w:type="pct"/>
          </w:tcPr>
          <w:p w:rsidR="00FA48A9" w:rsidRPr="00390549" w:rsidRDefault="00CE4173" w:rsidP="00563FB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25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6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CE4173" w:rsidRDefault="00CE4173" w:rsidP="00CE417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FA48A9" w:rsidRPr="00390549" w:rsidRDefault="00CE4173" w:rsidP="00CE4173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1452" w:type="pct"/>
          </w:tcPr>
          <w:p w:rsidR="00FA48A9" w:rsidRPr="00CE4173" w:rsidRDefault="00563FBA" w:rsidP="00CE417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25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26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61"/>
        <w:gridCol w:w="3227"/>
      </w:tblGrid>
      <w:tr w:rsidR="00FA48A9" w:rsidRPr="00390549" w:rsidTr="00B545BD">
        <w:trPr>
          <w:jc w:val="center"/>
        </w:trPr>
        <w:tc>
          <w:tcPr>
            <w:tcW w:w="3263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Forrás esetében </w:t>
            </w:r>
            <w:r w:rsidR="005616E4" w:rsidRPr="00CE4173">
              <w:rPr>
                <w:rFonts w:ascii="Times New Roman" w:hAnsi="Times New Roman" w:cs="Times New Roman"/>
                <w:b/>
                <w:i/>
              </w:rPr>
              <w:t>(pályázat, támogatás)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 megvalósítható beruházással járó intézkedések</w:t>
            </w:r>
          </w:p>
        </w:tc>
        <w:tc>
          <w:tcPr>
            <w:tcW w:w="1737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B545BD" w:rsidRPr="000D3E7F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1737" w:type="pct"/>
          </w:tcPr>
          <w:p w:rsidR="00B545BD" w:rsidRPr="00800B73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B545BD" w:rsidRPr="00843A18" w:rsidRDefault="00B545BD" w:rsidP="00B545B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1737" w:type="pct"/>
          </w:tcPr>
          <w:p w:rsidR="00B545BD" w:rsidRPr="0099245C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30 %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Fűtési rendszer korszerűsítése Épület fűtéskorszerűsítése I.</w:t>
            </w:r>
          </w:p>
          <w:p w:rsidR="00B545BD" w:rsidRPr="00843A18" w:rsidRDefault="00B545BD" w:rsidP="00B545B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1737" w:type="pct"/>
          </w:tcPr>
          <w:p w:rsidR="00B545BD" w:rsidRPr="0099245C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30 %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magastető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B545BD" w:rsidRPr="00390549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1737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padlásfödém hőszigetelése</w:t>
            </w:r>
          </w:p>
          <w:p w:rsidR="00B545BD" w:rsidRPr="00390549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(100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kőzetgyapot)</w:t>
            </w:r>
          </w:p>
        </w:tc>
        <w:tc>
          <w:tcPr>
            <w:tcW w:w="1737" w:type="pct"/>
          </w:tcPr>
          <w:p w:rsidR="00B545BD" w:rsidRPr="00390549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B545BD" w:rsidRPr="00843A18" w:rsidRDefault="00B545BD" w:rsidP="00B545B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1737" w:type="pct"/>
          </w:tcPr>
          <w:p w:rsidR="00B545BD" w:rsidRPr="00E73242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30 %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B545BD" w:rsidRPr="00390549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5 kW rendszer telepítése)</w:t>
            </w:r>
          </w:p>
        </w:tc>
        <w:tc>
          <w:tcPr>
            <w:tcW w:w="1737" w:type="pct"/>
          </w:tcPr>
          <w:p w:rsidR="00B545BD" w:rsidRPr="007037AA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50 %</w:t>
            </w:r>
          </w:p>
        </w:tc>
      </w:tr>
      <w:tr w:rsidR="00B545BD" w:rsidRPr="00390549" w:rsidTr="00B545BD">
        <w:trPr>
          <w:jc w:val="center"/>
        </w:trPr>
        <w:tc>
          <w:tcPr>
            <w:tcW w:w="3263" w:type="pct"/>
          </w:tcPr>
          <w:p w:rsidR="00B545BD" w:rsidRDefault="00B545BD" w:rsidP="00B545B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B545BD" w:rsidRPr="00390549" w:rsidRDefault="00B545BD" w:rsidP="00B545B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1737" w:type="pct"/>
          </w:tcPr>
          <w:p w:rsidR="00B545BD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0,1 </w:t>
            </w:r>
          </w:p>
          <w:p w:rsidR="00B545BD" w:rsidRPr="005067D9" w:rsidRDefault="00B545BD" w:rsidP="00B545B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FA48A9" w:rsidRPr="00390549" w:rsidRDefault="00FA48A9" w:rsidP="00FA48A9">
      <w:pPr>
        <w:ind w:left="0"/>
        <w:rPr>
          <w:rFonts w:ascii="Times New Roman" w:hAnsi="Times New Roman" w:cs="Times New Roman"/>
        </w:rPr>
      </w:pPr>
    </w:p>
    <w:p w:rsidR="00686A12" w:rsidRPr="00390549" w:rsidRDefault="00686A12" w:rsidP="00FA48A9">
      <w:pPr>
        <w:ind w:left="0"/>
        <w:rPr>
          <w:rFonts w:ascii="Times New Roman" w:hAnsi="Times New Roman" w:cs="Times New Roman"/>
        </w:rPr>
      </w:pPr>
    </w:p>
    <w:p w:rsidR="005C1F29" w:rsidRPr="00390549" w:rsidRDefault="00985754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Továbbá szükséges a nyomon</w:t>
      </w:r>
      <w:r w:rsidR="0090210C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követésért felelős személy vagy személyek nevének a meghatározása.</w:t>
      </w:r>
    </w:p>
    <w:p w:rsidR="005C1F29" w:rsidRPr="00390549" w:rsidRDefault="005C1F29" w:rsidP="00FA48A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112"/>
        <w:gridCol w:w="4176"/>
      </w:tblGrid>
      <w:tr w:rsidR="005C1F29" w:rsidRPr="00390549" w:rsidTr="003552CB">
        <w:tc>
          <w:tcPr>
            <w:tcW w:w="2752" w:type="pct"/>
          </w:tcPr>
          <w:p w:rsidR="005C1F29" w:rsidRPr="00390549" w:rsidRDefault="005C1F29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Kapcsolattartó személy </w:t>
            </w:r>
            <w:r w:rsidR="000241F6">
              <w:rPr>
                <w:rFonts w:ascii="Times New Roman" w:hAnsi="Times New Roman" w:cs="Times New Roman"/>
              </w:rPr>
              <w:t xml:space="preserve">Nemzeti </w:t>
            </w:r>
            <w:r w:rsidRPr="00390549">
              <w:rPr>
                <w:rFonts w:ascii="Times New Roman" w:hAnsi="Times New Roman" w:cs="Times New Roman"/>
              </w:rPr>
              <w:t>Energetikusi Hálózat felé:</w:t>
            </w:r>
          </w:p>
        </w:tc>
        <w:tc>
          <w:tcPr>
            <w:tcW w:w="2248" w:type="pct"/>
          </w:tcPr>
          <w:p w:rsidR="005C1F29" w:rsidRPr="00390549" w:rsidRDefault="00730A9A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Környezetvédelmi osztályvezető</w:t>
            </w:r>
          </w:p>
        </w:tc>
      </w:tr>
      <w:tr w:rsidR="00985754" w:rsidRPr="00390549" w:rsidTr="003552CB">
        <w:tc>
          <w:tcPr>
            <w:tcW w:w="2752" w:type="pct"/>
          </w:tcPr>
          <w:p w:rsidR="00985754" w:rsidRPr="00390549" w:rsidRDefault="00985754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Az energiahatékonysági eredmények </w:t>
            </w:r>
            <w:r w:rsidR="0073459B" w:rsidRPr="00390549">
              <w:rPr>
                <w:rFonts w:ascii="Times New Roman" w:hAnsi="Times New Roman" w:cs="Times New Roman"/>
              </w:rPr>
              <w:t>nyomon követésé</w:t>
            </w:r>
            <w:r w:rsidR="000241F6">
              <w:rPr>
                <w:rFonts w:ascii="Times New Roman" w:hAnsi="Times New Roman" w:cs="Times New Roman"/>
              </w:rPr>
              <w:t>ért</w:t>
            </w:r>
            <w:r w:rsidRPr="00390549">
              <w:rPr>
                <w:rFonts w:ascii="Times New Roman" w:hAnsi="Times New Roman" w:cs="Times New Roman"/>
              </w:rPr>
              <w:t xml:space="preserve"> felelős </w:t>
            </w:r>
            <w:proofErr w:type="gramStart"/>
            <w:r w:rsidRPr="00390549">
              <w:rPr>
                <w:rFonts w:ascii="Times New Roman" w:hAnsi="Times New Roman" w:cs="Times New Roman"/>
              </w:rPr>
              <w:t>személy</w:t>
            </w:r>
            <w:r w:rsidR="0073459B" w:rsidRPr="0039054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241F6">
              <w:rPr>
                <w:rFonts w:ascii="Times New Roman" w:hAnsi="Times New Roman" w:cs="Times New Roman"/>
              </w:rPr>
              <w:t>ek</w:t>
            </w:r>
            <w:proofErr w:type="spellEnd"/>
            <w:r w:rsidR="0073459B" w:rsidRPr="00390549">
              <w:rPr>
                <w:rFonts w:ascii="Times New Roman" w:hAnsi="Times New Roman" w:cs="Times New Roman"/>
              </w:rPr>
              <w:t>)</w:t>
            </w:r>
            <w:r w:rsidRPr="003905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8" w:type="pct"/>
          </w:tcPr>
          <w:p w:rsidR="00985754" w:rsidRPr="00390549" w:rsidRDefault="00730A9A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Intézményüzemeltetési osztály</w:t>
            </w:r>
          </w:p>
        </w:tc>
      </w:tr>
    </w:tbl>
    <w:p w:rsidR="00985A4F" w:rsidRPr="00390549" w:rsidRDefault="00985A4F" w:rsidP="00FA48A9">
      <w:pPr>
        <w:ind w:left="0"/>
        <w:rPr>
          <w:rFonts w:ascii="Times New Roman" w:hAnsi="Times New Roman" w:cs="Times New Roman"/>
        </w:rPr>
      </w:pPr>
    </w:p>
    <w:p w:rsidR="000132C8" w:rsidRPr="00390549" w:rsidRDefault="000132C8" w:rsidP="000132C8">
      <w:pPr>
        <w:pStyle w:val="Cmsor1"/>
        <w:rPr>
          <w:rFonts w:ascii="Times New Roman" w:hAnsi="Times New Roman" w:cs="Times New Roman"/>
        </w:rPr>
      </w:pPr>
      <w:bookmarkStart w:id="2" w:name="_Toc468804517"/>
      <w:bookmarkStart w:id="3" w:name="_Toc477642411"/>
      <w:r w:rsidRPr="00390549">
        <w:rPr>
          <w:rFonts w:ascii="Times New Roman" w:hAnsi="Times New Roman" w:cs="Times New Roman"/>
        </w:rPr>
        <w:t>Az épület/épületegyüttes alapadatai</w:t>
      </w:r>
      <w:bookmarkEnd w:id="2"/>
      <w:bookmarkEnd w:id="3"/>
    </w:p>
    <w:p w:rsidR="00B545BD" w:rsidRPr="00B545BD" w:rsidRDefault="00B545BD" w:rsidP="00B545B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545BD">
        <w:rPr>
          <w:rFonts w:ascii="Times New Roman" w:hAnsi="Times New Roman" w:cs="Times New Roman"/>
        </w:rPr>
        <w:t>A Petőfi utca 1. szám alatt található a</w:t>
      </w:r>
      <w:r>
        <w:rPr>
          <w:rFonts w:ascii="Times New Roman" w:hAnsi="Times New Roman" w:cs="Times New Roman"/>
        </w:rPr>
        <w:t>z</w:t>
      </w:r>
      <w:r w:rsidRPr="00B545BD">
        <w:rPr>
          <w:rFonts w:ascii="Times New Roman" w:hAnsi="Times New Roman" w:cs="Times New Roman"/>
        </w:rPr>
        <w:t xml:space="preserve"> </w:t>
      </w:r>
      <w:r w:rsidRPr="00AC0980">
        <w:rPr>
          <w:rFonts w:ascii="Times New Roman" w:hAnsi="Times New Roman" w:cs="Times New Roman"/>
        </w:rPr>
        <w:t xml:space="preserve">Esély Szociális Társulás </w:t>
      </w:r>
      <w:r w:rsidRPr="00B545BD">
        <w:rPr>
          <w:rFonts w:ascii="Times New Roman" w:hAnsi="Times New Roman" w:cs="Times New Roman"/>
        </w:rPr>
        <w:t>központi intézménye. A telken két ház található, amelyből az egyiket csak raktárként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illetve az adományok elosztó helyiségeként használják. Ez a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 xml:space="preserve">melléképület egy pince + földszint kialakítású, 77,56 m2 alapterületű ház. </w:t>
      </w:r>
    </w:p>
    <w:p w:rsidR="00B545BD" w:rsidRPr="00B545BD" w:rsidRDefault="00B545BD" w:rsidP="00B545B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545BD">
        <w:rPr>
          <w:rFonts w:ascii="Times New Roman" w:hAnsi="Times New Roman" w:cs="Times New Roman"/>
        </w:rPr>
        <w:t>A főépület 157,24 m2 alapterületű, földszintes kialakítású. Az udvar felé eső részén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bővítés nyomai láthatóak. A régebbi épületrész fala 47 cm vastag, két oldalt vakolva.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A bővítés 30 cm széles téglafal, szintén két oldalt vakolva.</w:t>
      </w:r>
    </w:p>
    <w:p w:rsidR="00B545BD" w:rsidRDefault="00B545BD" w:rsidP="00B545B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545BD">
        <w:rPr>
          <w:rFonts w:ascii="Times New Roman" w:hAnsi="Times New Roman" w:cs="Times New Roman"/>
        </w:rPr>
        <w:t>Az épületben irodák, foglalkoztató szoba, valamint mosdóhelyiség van kialakítva.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A nyílászárókat hőszigetelt üvegezésű műanyag ablakokra cserélték.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A fűtés gázüzemű, 1 db FÉGTHERM SC24Atípusú kazánról működő radiátoros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központi fűtés. Az épületben kiegészítő fűtésként 1 olajradiátor is használatban van.</w:t>
      </w:r>
      <w:r>
        <w:rPr>
          <w:rFonts w:ascii="Times New Roman" w:hAnsi="Times New Roman" w:cs="Times New Roman"/>
        </w:rPr>
        <w:t xml:space="preserve"> </w:t>
      </w:r>
      <w:r w:rsidRPr="00B545BD">
        <w:rPr>
          <w:rFonts w:ascii="Times New Roman" w:hAnsi="Times New Roman" w:cs="Times New Roman"/>
        </w:rPr>
        <w:t>A használati melegvíz előállításához 1 db elektromos bojler áll rendelkezésre.</w:t>
      </w:r>
    </w:p>
    <w:p w:rsidR="00F85A99" w:rsidRDefault="00F85A99" w:rsidP="00B545B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B545BD" w:rsidRDefault="00B545BD" w:rsidP="00D7621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890"/>
      </w:tblGrid>
      <w:tr w:rsidR="00730A9A" w:rsidRPr="00390549" w:rsidTr="00F85A99">
        <w:trPr>
          <w:trHeight w:val="300"/>
          <w:jc w:val="center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épület/épületegyüttes alapadatai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B545BD" w:rsidRPr="00390549" w:rsidTr="00F85A99">
        <w:trPr>
          <w:trHeight w:val="315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címe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A1C45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A1C4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2040 Budaörs,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Petőfi S. u. 1.</w:t>
            </w:r>
          </w:p>
        </w:tc>
      </w:tr>
      <w:tr w:rsidR="00B545BD" w:rsidRPr="00390549" w:rsidTr="00F85A99">
        <w:trPr>
          <w:trHeight w:val="315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Helyrajzi száma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631</w:t>
            </w:r>
          </w:p>
        </w:tc>
      </w:tr>
      <w:tr w:rsidR="00B545BD" w:rsidRPr="00390549" w:rsidTr="00F85A99">
        <w:trPr>
          <w:trHeight w:val="509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730A9A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Tulajdonos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lang w:bidi="en-US"/>
              </w:rPr>
            </w:pPr>
            <w:r w:rsidRPr="00BC7728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Budaörs Város Önkormányzata</w:t>
            </w:r>
          </w:p>
        </w:tc>
      </w:tr>
      <w:tr w:rsidR="00B545BD" w:rsidRPr="00390549" w:rsidTr="00F85A99">
        <w:trPr>
          <w:trHeight w:val="315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megnevezése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Esély Szociális Társulás Szociális és Gyermekjóléti Szolgálat</w:t>
            </w:r>
          </w:p>
        </w:tc>
      </w:tr>
      <w:tr w:rsidR="00B545BD" w:rsidRPr="00390549" w:rsidTr="00F85A99">
        <w:trPr>
          <w:trHeight w:val="315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Létesítmény funkciója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gyermekjóléti szolgálat</w:t>
            </w:r>
          </w:p>
        </w:tc>
      </w:tr>
      <w:tr w:rsidR="00B545BD" w:rsidRPr="00390549" w:rsidTr="00F85A99">
        <w:trPr>
          <w:trHeight w:val="315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730A9A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 xml:space="preserve">Védettség 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 helyi védettség</w:t>
            </w:r>
          </w:p>
        </w:tc>
      </w:tr>
      <w:tr w:rsidR="00B545BD" w:rsidRPr="00390549" w:rsidTr="00F85A99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545BD" w:rsidRPr="00730A9A" w:rsidRDefault="00B545BD" w:rsidP="00AC58A7">
            <w:pPr>
              <w:jc w:val="lef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B545BD" w:rsidRPr="00390549" w:rsidTr="00F85A99">
        <w:trPr>
          <w:trHeight w:val="300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730A9A" w:rsidRDefault="00B545BD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Hasznos alapterülete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Default="00B545BD" w:rsidP="00B545BD">
            <w:pPr>
              <w:jc w:val="left"/>
              <w:rPr>
                <w:rFonts w:ascii="Times New Roman" w:hAnsi="Times New Roman" w:cs="Times New Roman"/>
                <w:iCs/>
                <w:color w:val="000000"/>
                <w:lang w:eastAsia="hu-HU"/>
              </w:rPr>
            </w:pPr>
          </w:p>
          <w:p w:rsidR="00B545BD" w:rsidRPr="00671CA3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lang w:eastAsia="hu-HU"/>
              </w:rPr>
              <w:t>102 m²</w:t>
            </w:r>
          </w:p>
        </w:tc>
      </w:tr>
      <w:tr w:rsidR="00B545BD" w:rsidRPr="00390549" w:rsidTr="00F85A99">
        <w:trPr>
          <w:trHeight w:val="300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390549" w:rsidRDefault="00B545BD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Építés ideje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B545BD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B545BD" w:rsidRPr="00390549" w:rsidTr="00F85A99">
        <w:trPr>
          <w:trHeight w:val="300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5BD" w:rsidRPr="00390549" w:rsidRDefault="00B545BD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Épületszerkezet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hagyományos</w:t>
            </w:r>
          </w:p>
        </w:tc>
      </w:tr>
      <w:tr w:rsidR="00B545BD" w:rsidRPr="00390549" w:rsidTr="00F85A99">
        <w:trPr>
          <w:trHeight w:val="300"/>
          <w:jc w:val="center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Szintszám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5BD" w:rsidRPr="00390549" w:rsidRDefault="00B545BD" w:rsidP="00F85A99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Fsz.</w:t>
            </w:r>
          </w:p>
        </w:tc>
      </w:tr>
    </w:tbl>
    <w:p w:rsidR="00730A9A" w:rsidRDefault="00730A9A" w:rsidP="00390549">
      <w:pPr>
        <w:ind w:left="0"/>
        <w:rPr>
          <w:rFonts w:ascii="Times New Roman" w:hAnsi="Times New Roman" w:cs="Times New Roman"/>
        </w:rPr>
      </w:pPr>
    </w:p>
    <w:p w:rsidR="00F85A99" w:rsidRDefault="00F85A99" w:rsidP="00390549">
      <w:pPr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6"/>
        <w:gridCol w:w="2156"/>
      </w:tblGrid>
      <w:tr w:rsidR="00730A9A" w:rsidRPr="00390549" w:rsidTr="00AC58A7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spacing w:before="200" w:after="200"/>
              <w:jc w:val="left"/>
              <w:rPr>
                <w:rFonts w:ascii="Times New Roman" w:hAnsi="Times New Roman" w:cs="Times New Roman"/>
                <w:lang w:bidi="en-US"/>
              </w:rPr>
            </w:pPr>
            <w:r w:rsidRPr="00390549">
              <w:rPr>
                <w:rFonts w:ascii="Times New Roman" w:hAnsi="Times New Roman" w:cs="Times New Roman"/>
              </w:rPr>
              <w:t>Az épület/épületegyüttes műszaki alapadatai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Külső falazat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tégla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Tető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magas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Ablak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műanyag</w:t>
            </w:r>
          </w:p>
        </w:tc>
      </w:tr>
      <w:tr w:rsidR="00F85A99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Ajtó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F85A99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BF5730">
              <w:rPr>
                <w:rFonts w:ascii="Times New Roman" w:hAnsi="Times New Roman" w:cs="Times New Roman"/>
                <w:lang w:eastAsia="hu-HU"/>
              </w:rPr>
              <w:t xml:space="preserve">Felhasznált energia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földgáz, villamos energia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Fűtési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központi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Szellőzési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hu-HU"/>
              </w:rPr>
              <w:t>Hőtermelő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gáz cirkó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Hőleadó</w:t>
            </w:r>
            <w:proofErr w:type="spellEnd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radiátor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HMV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villanybojler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Hűtési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Világítás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6C4226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neon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Éves kihasználtság (nap/év):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251 nap/év</w:t>
            </w:r>
          </w:p>
        </w:tc>
      </w:tr>
      <w:tr w:rsidR="00F85A99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A99" w:rsidRPr="00390549" w:rsidRDefault="00F85A99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Épület energetikai besorolása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(amennyiben rendelkezésre áll energetikai tanúsítvány)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99" w:rsidRPr="00390549" w:rsidRDefault="00F85A99" w:rsidP="00790CF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nem készült</w:t>
            </w:r>
          </w:p>
        </w:tc>
      </w:tr>
      <w:tr w:rsidR="00730A9A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9A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9A" w:rsidRPr="009073C6" w:rsidRDefault="00730A9A" w:rsidP="00AC58A7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730A9A" w:rsidRDefault="00730A9A" w:rsidP="00390549">
      <w:pPr>
        <w:ind w:left="0"/>
        <w:rPr>
          <w:rFonts w:ascii="Times New Roman" w:hAnsi="Times New Roman" w:cs="Times New Roman"/>
        </w:rPr>
      </w:pPr>
    </w:p>
    <w:p w:rsidR="00F85A99" w:rsidRDefault="00F85A99" w:rsidP="00390549">
      <w:pPr>
        <w:ind w:left="0"/>
        <w:rPr>
          <w:rFonts w:ascii="Times New Roman" w:hAnsi="Times New Roman" w:cs="Times New Roman"/>
        </w:rPr>
      </w:pPr>
    </w:p>
    <w:p w:rsidR="00F85A99" w:rsidRPr="00390549" w:rsidRDefault="00F85A99" w:rsidP="00390549">
      <w:pPr>
        <w:ind w:left="0"/>
        <w:rPr>
          <w:rFonts w:ascii="Times New Roman" w:hAnsi="Times New Roman" w:cs="Times New Roman"/>
        </w:rPr>
      </w:pPr>
    </w:p>
    <w:p w:rsidR="005F22CE" w:rsidRPr="00390549" w:rsidRDefault="0090210C" w:rsidP="00E054EF">
      <w:pPr>
        <w:pStyle w:val="Cmsor1"/>
        <w:rPr>
          <w:rFonts w:ascii="Times New Roman" w:hAnsi="Times New Roman" w:cs="Times New Roman"/>
        </w:rPr>
      </w:pPr>
      <w:bookmarkStart w:id="4" w:name="_Ref470952316"/>
      <w:bookmarkStart w:id="5" w:name="_Toc477642412"/>
      <w:r w:rsidRPr="00390549">
        <w:rPr>
          <w:rFonts w:ascii="Times New Roman" w:hAnsi="Times New Roman" w:cs="Times New Roman"/>
        </w:rPr>
        <w:t>Energiamegtakarítási</w:t>
      </w:r>
      <w:r w:rsidR="00BC4B95" w:rsidRPr="00390549">
        <w:rPr>
          <w:rFonts w:ascii="Times New Roman" w:hAnsi="Times New Roman" w:cs="Times New Roman"/>
        </w:rPr>
        <w:t xml:space="preserve"> intézkedés</w:t>
      </w:r>
      <w:bookmarkEnd w:id="4"/>
      <w:r w:rsidR="00FD4357" w:rsidRPr="00390549">
        <w:rPr>
          <w:rFonts w:ascii="Times New Roman" w:hAnsi="Times New Roman" w:cs="Times New Roman"/>
        </w:rPr>
        <w:t>i lehetőségek</w:t>
      </w:r>
      <w:bookmarkEnd w:id="5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1-3 éven belül kerülhetnek megvalósításra, és az intézmény éves energiafogyasztásának 7-10 %-os megtakarítást eredményezik.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6" w:name="_Toc477642413"/>
      <w:r w:rsidRPr="00390549">
        <w:rPr>
          <w:rFonts w:ascii="Times New Roman" w:hAnsi="Times New Roman" w:cs="Times New Roman"/>
        </w:rPr>
        <w:t>Beruházást nem igénylő beavatkozások</w:t>
      </w:r>
      <w:bookmarkEnd w:id="6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nem igénylő beavatkozások, melyek az intézmény éves energiafogyasztásának 3-5 %-os megtakarítását eredményezik. Jellemzően ezek a beavatkozások rövidtávon, egy éven belül megvalósíthatók.</w:t>
      </w:r>
    </w:p>
    <w:p w:rsidR="00FC49AA" w:rsidRPr="00390549" w:rsidRDefault="00FC49AA" w:rsidP="005C7E1A">
      <w:pPr>
        <w:rPr>
          <w:rFonts w:ascii="Times New Roman" w:hAnsi="Times New Roman" w:cs="Times New Roman"/>
          <w:i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F85A99" w:rsidRPr="00E92CE3" w:rsidTr="00790CF6">
        <w:trPr>
          <w:jc w:val="center"/>
        </w:trPr>
        <w:tc>
          <w:tcPr>
            <w:tcW w:w="2482" w:type="pct"/>
          </w:tcPr>
          <w:p w:rsidR="00F85A99" w:rsidRPr="00E92CE3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F85A99" w:rsidRPr="00E92CE3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F85A99" w:rsidRPr="00E92CE3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F85A99" w:rsidRPr="00E92CE3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85A99" w:rsidRPr="00390549" w:rsidTr="00790CF6">
        <w:trPr>
          <w:jc w:val="center"/>
        </w:trPr>
        <w:tc>
          <w:tcPr>
            <w:tcW w:w="2482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26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85A99" w:rsidRDefault="00F85A99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482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i szezonban)</w:t>
            </w:r>
          </w:p>
        </w:tc>
        <w:tc>
          <w:tcPr>
            <w:tcW w:w="119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26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85A99" w:rsidRDefault="00F85A99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482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85A99" w:rsidRDefault="00F85A99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482" w:type="pct"/>
          </w:tcPr>
          <w:p w:rsidR="00F85A99" w:rsidRPr="00F85A99" w:rsidRDefault="00F85A99" w:rsidP="00F85A99">
            <w:pPr>
              <w:pStyle w:val="Listaszerbekezds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i/>
                <w:iCs/>
                <w:szCs w:val="24"/>
              </w:rPr>
            </w:pPr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 felhasználói szokások megváltoztatása, felelősök kijelölése</w:t>
            </w:r>
          </w:p>
          <w:p w:rsidR="00F85A99" w:rsidRPr="00F85A99" w:rsidRDefault="00F85A99" w:rsidP="00F85A99">
            <w:pPr>
              <w:pStyle w:val="Listaszerbekezds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i/>
                <w:iCs/>
                <w:szCs w:val="24"/>
              </w:rPr>
            </w:pPr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F85A99" w:rsidRPr="00F85A99" w:rsidRDefault="00F85A99" w:rsidP="00F85A99">
            <w:pPr>
              <w:pStyle w:val="Listaszerbekezds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i/>
                <w:iCs/>
                <w:szCs w:val="24"/>
              </w:rPr>
            </w:pPr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F85A99" w:rsidRPr="00F85A99" w:rsidRDefault="00F85A99" w:rsidP="00F85A99">
            <w:pPr>
              <w:pStyle w:val="Listaszerbekezds"/>
              <w:numPr>
                <w:ilvl w:val="0"/>
                <w:numId w:val="32"/>
              </w:numPr>
              <w:ind w:left="284" w:hanging="284"/>
            </w:pPr>
            <w:proofErr w:type="spellStart"/>
            <w:r w:rsidRPr="00F85A99">
              <w:rPr>
                <w:rFonts w:ascii="Times New Roman" w:hAnsi="Times New Roman"/>
                <w:i/>
                <w:iCs/>
                <w:szCs w:val="24"/>
              </w:rPr>
              <w:t>energiamegtakarításra</w:t>
            </w:r>
            <w:proofErr w:type="spellEnd"/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 vonatkozó dolgozói javaslatok támogatása, motiváció</w:t>
            </w:r>
            <w:r w:rsidRPr="00F85A99">
              <w:t xml:space="preserve"> </w:t>
            </w:r>
          </w:p>
        </w:tc>
        <w:tc>
          <w:tcPr>
            <w:tcW w:w="119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85A99" w:rsidRDefault="00F85A99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482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lekötött teljesítmények csökkentésének lehetőségei, szolgáltatói szerződések felülvizsgálata</w:t>
            </w:r>
          </w:p>
        </w:tc>
        <w:tc>
          <w:tcPr>
            <w:tcW w:w="119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26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2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321C30" w:rsidRPr="00390549" w:rsidRDefault="00321C30" w:rsidP="00E054EF">
      <w:pPr>
        <w:pStyle w:val="Cmsor2"/>
        <w:rPr>
          <w:rFonts w:ascii="Times New Roman" w:hAnsi="Times New Roman" w:cs="Times New Roman"/>
        </w:rPr>
      </w:pPr>
      <w:bookmarkStart w:id="7" w:name="_Toc477642414"/>
      <w:r w:rsidRPr="00390549">
        <w:rPr>
          <w:rFonts w:ascii="Times New Roman" w:hAnsi="Times New Roman" w:cs="Times New Roman"/>
        </w:rPr>
        <w:t>Minimális ráfordítást igénylő beavatkozások</w:t>
      </w:r>
      <w:bookmarkEnd w:id="7"/>
    </w:p>
    <w:p w:rsidR="00B65086" w:rsidRDefault="00B65086" w:rsidP="00B65086">
      <w:pPr>
        <w:spacing w:after="160" w:line="259" w:lineRule="auto"/>
        <w:ind w:left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Minimális ráfordítást igénylő beavatkozások kerültek, melyek általában 1-3 éven belül kerülhetnek megvalósításra, és az intézmény éves energiafogyasztásának 7-10 %-os megtakarítást eredményezik.</w:t>
      </w:r>
    </w:p>
    <w:p w:rsidR="00B65086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2144"/>
        <w:gridCol w:w="1141"/>
        <w:gridCol w:w="1287"/>
      </w:tblGrid>
      <w:tr w:rsidR="00F85A99" w:rsidRPr="000714FE" w:rsidTr="00790CF6">
        <w:trPr>
          <w:jc w:val="center"/>
        </w:trPr>
        <w:tc>
          <w:tcPr>
            <w:tcW w:w="2539" w:type="pct"/>
          </w:tcPr>
          <w:p w:rsidR="00F85A99" w:rsidRPr="000714FE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154" w:type="pct"/>
          </w:tcPr>
          <w:p w:rsidR="00F85A99" w:rsidRPr="000714FE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14" w:type="pct"/>
          </w:tcPr>
          <w:p w:rsidR="00F85A99" w:rsidRPr="000714FE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93" w:type="pct"/>
          </w:tcPr>
          <w:p w:rsidR="00F85A99" w:rsidRPr="000714FE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5-10%</w:t>
            </w:r>
          </w:p>
        </w:tc>
        <w:tc>
          <w:tcPr>
            <w:tcW w:w="614" w:type="pct"/>
          </w:tcPr>
          <w:p w:rsidR="00F85A99" w:rsidRPr="00183BD6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F85A99" w:rsidRPr="00183BD6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Intézmény</w:t>
            </w:r>
          </w:p>
          <w:p w:rsidR="00F85A99" w:rsidRPr="00183BD6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üzemeltetés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6E4975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Műanyag </w:t>
            </w:r>
            <w:r w:rsidRPr="006E4975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huzatfogó kefe felszere</w:t>
            </w:r>
            <w:r>
              <w:rPr>
                <w:rFonts w:ascii="Times New Roman" w:hAnsi="Times New Roman"/>
                <w:i/>
                <w:szCs w:val="24"/>
              </w:rPr>
              <w:t>lése, ajtócsukó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,</w:t>
            </w:r>
            <w:r w:rsidRPr="006E4975">
              <w:rPr>
                <w:rFonts w:ascii="Times New Roman" w:hAnsi="Times New Roman"/>
                <w:i/>
                <w:szCs w:val="24"/>
              </w:rPr>
              <w:t>télen</w:t>
            </w:r>
            <w:proofErr w:type="gramEnd"/>
            <w:r w:rsidRPr="006E4975">
              <w:rPr>
                <w:rFonts w:ascii="Times New Roman" w:hAnsi="Times New Roman"/>
                <w:i/>
                <w:szCs w:val="24"/>
              </w:rPr>
              <w:t xml:space="preserve"> textilfüggöny felszerel</w:t>
            </w:r>
            <w:r>
              <w:rPr>
                <w:rFonts w:ascii="Times New Roman" w:hAnsi="Times New Roman"/>
                <w:i/>
                <w:szCs w:val="24"/>
              </w:rPr>
              <w:t>ése.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F85A99" w:rsidRDefault="00F85A99" w:rsidP="00790CF6">
            <w:pPr>
              <w:ind w:left="0"/>
              <w:jc w:val="center"/>
            </w:pPr>
            <w:r w:rsidRPr="00C255B4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6E4975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Fa Bejárati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ajtók  passzítása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, záródások javítása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F85A99" w:rsidRDefault="00F85A99" w:rsidP="00790CF6">
            <w:pPr>
              <w:ind w:left="0"/>
              <w:jc w:val="center"/>
            </w:pPr>
            <w:r w:rsidRPr="00C255B4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(ahol nem készült)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A80B42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F85A9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Cs w:val="24"/>
              </w:rPr>
              <w:t>LEDes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 fénycsövekre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és lámpákra csere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614" w:type="pct"/>
          </w:tcPr>
          <w:p w:rsidR="00F85A9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6E4975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E4975">
              <w:rPr>
                <w:rFonts w:ascii="Times New Roman" w:hAnsi="Times New Roman"/>
                <w:i/>
                <w:szCs w:val="24"/>
              </w:rPr>
              <w:t>fűtési rendszer beszabályozása;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t</w:t>
            </w:r>
            <w:r w:rsidRPr="006E4975">
              <w:rPr>
                <w:rFonts w:ascii="Times New Roman" w:hAnsi="Times New Roman"/>
                <w:i/>
                <w:szCs w:val="24"/>
              </w:rPr>
              <w:t>ermo</w:t>
            </w:r>
            <w:r>
              <w:rPr>
                <w:rFonts w:ascii="Times New Roman" w:hAnsi="Times New Roman"/>
                <w:i/>
                <w:szCs w:val="24"/>
              </w:rPr>
              <w:t xml:space="preserve">sztatikus </w:t>
            </w:r>
            <w:r w:rsidRPr="006E4975">
              <w:rPr>
                <w:rFonts w:ascii="Times New Roman" w:hAnsi="Times New Roman"/>
                <w:i/>
                <w:szCs w:val="24"/>
              </w:rPr>
              <w:t xml:space="preserve"> szelepek</w:t>
            </w:r>
            <w:proofErr w:type="gramEnd"/>
            <w:r w:rsidRPr="006E4975">
              <w:rPr>
                <w:rFonts w:ascii="Times New Roman" w:hAnsi="Times New Roman"/>
                <w:i/>
                <w:szCs w:val="24"/>
              </w:rPr>
              <w:t xml:space="preserve"> a hiányzó   radiátorokra 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4C27B4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4C27B4">
              <w:rPr>
                <w:rFonts w:ascii="Times New Roman" w:hAnsi="Times New Roman"/>
                <w:i/>
                <w:szCs w:val="24"/>
              </w:rPr>
              <w:t>energiatakarékos berendezések (számítógépek, monitorok, hűtő, stb.) beszerzése, a meglévő berendezések használata során az energiatakarékos használatra való törekvés (</w:t>
            </w:r>
            <w:proofErr w:type="gramStart"/>
            <w:r w:rsidRPr="004C27B4">
              <w:rPr>
                <w:rFonts w:ascii="Times New Roman" w:hAnsi="Times New Roman"/>
                <w:i/>
                <w:szCs w:val="24"/>
              </w:rPr>
              <w:t>pl.  monitor</w:t>
            </w:r>
            <w:proofErr w:type="gramEnd"/>
            <w:r w:rsidRPr="004C27B4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E13E99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E99">
              <w:rPr>
                <w:rFonts w:ascii="Times New Roman" w:hAnsi="Times New Roman"/>
                <w:i/>
                <w:szCs w:val="24"/>
              </w:rPr>
      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nyereséget.</w:t>
            </w:r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  <w:tr w:rsidR="00F85A99" w:rsidRPr="00390549" w:rsidTr="00790CF6">
        <w:trPr>
          <w:jc w:val="center"/>
        </w:trPr>
        <w:tc>
          <w:tcPr>
            <w:tcW w:w="2539" w:type="pct"/>
          </w:tcPr>
          <w:p w:rsidR="00F85A99" w:rsidRPr="006E4975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Gázkazán cseréje kondenzációsra a teljes fűtési rendszer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átmosásával .</w:t>
            </w:r>
            <w:proofErr w:type="gramEnd"/>
          </w:p>
        </w:tc>
        <w:tc>
          <w:tcPr>
            <w:tcW w:w="115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14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</w:tbl>
    <w:p w:rsidR="00B65086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B65086" w:rsidRPr="00390549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i/>
          <w:szCs w:val="24"/>
        </w:rPr>
      </w:pP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8" w:name="_Toc477642415"/>
      <w:r w:rsidRPr="00390549">
        <w:rPr>
          <w:rFonts w:ascii="Times New Roman" w:hAnsi="Times New Roman" w:cs="Times New Roman"/>
        </w:rPr>
        <w:t>Beruházást igénylő intézkedések</w:t>
      </w:r>
      <w:bookmarkEnd w:id="8"/>
    </w:p>
    <w:p w:rsidR="005829D3" w:rsidRDefault="005829D3" w:rsidP="005829D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igénylő beavatkozások, melyek túlnyomó részben külső forrás bevonásával 4-5 éven belül valósíthatók meg és az éves energiafogyasztás 10-30 %-os megtakarítását eredményezik.</w:t>
      </w:r>
    </w:p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1663"/>
        <w:gridCol w:w="1403"/>
        <w:gridCol w:w="1476"/>
      </w:tblGrid>
      <w:tr w:rsidR="00FE70A2" w:rsidRPr="00390549" w:rsidTr="00FE70A2">
        <w:trPr>
          <w:jc w:val="center"/>
        </w:trPr>
        <w:tc>
          <w:tcPr>
            <w:tcW w:w="2624" w:type="pct"/>
            <w:vAlign w:val="center"/>
          </w:tcPr>
          <w:p w:rsidR="00FE70A2" w:rsidRPr="00CE7F45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7F45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870" w:type="pct"/>
            <w:vAlign w:val="center"/>
          </w:tcPr>
          <w:p w:rsidR="00FE70A2" w:rsidRPr="00CE7F45" w:rsidRDefault="00FE70A2" w:rsidP="005829D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7F45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734" w:type="pct"/>
            <w:vAlign w:val="center"/>
          </w:tcPr>
          <w:p w:rsidR="00FE70A2" w:rsidRPr="00CE7F45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7F45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72" w:type="pct"/>
            <w:vAlign w:val="center"/>
          </w:tcPr>
          <w:p w:rsidR="00FE70A2" w:rsidRPr="00CE7F45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7F45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F85A99" w:rsidRPr="000D3E7F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870" w:type="pct"/>
          </w:tcPr>
          <w:p w:rsidR="00F85A99" w:rsidRPr="00800B73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F85A99" w:rsidRPr="00843A18" w:rsidRDefault="00F85A99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870" w:type="pct"/>
          </w:tcPr>
          <w:p w:rsidR="00F85A99" w:rsidRPr="0099245C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734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Fűtési rendszer korszerűsítése Épület fűtéskorszerűsítése I.</w:t>
            </w:r>
          </w:p>
          <w:p w:rsidR="00F85A99" w:rsidRPr="00843A18" w:rsidRDefault="00F85A99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870" w:type="pct"/>
          </w:tcPr>
          <w:p w:rsidR="00F85A99" w:rsidRPr="0099245C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magastető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87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padlásfödém hőszigetelése</w:t>
            </w:r>
          </w:p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(100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kőzetgyapot)</w:t>
            </w:r>
          </w:p>
        </w:tc>
        <w:tc>
          <w:tcPr>
            <w:tcW w:w="87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F85A99" w:rsidRPr="00843A18" w:rsidRDefault="00F85A99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870" w:type="pct"/>
          </w:tcPr>
          <w:p w:rsidR="00F85A99" w:rsidRPr="00E73242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5 kW rendszer telepítése)</w:t>
            </w:r>
          </w:p>
        </w:tc>
        <w:tc>
          <w:tcPr>
            <w:tcW w:w="870" w:type="pct"/>
          </w:tcPr>
          <w:p w:rsidR="00F85A99" w:rsidRPr="007037AA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870" w:type="pct"/>
          </w:tcPr>
          <w:p w:rsidR="00F85A9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0,1 </w:t>
            </w:r>
          </w:p>
          <w:p w:rsidR="00F85A99" w:rsidRPr="005067D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Pr="0039054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85A99" w:rsidRPr="00390549" w:rsidTr="00FE70A2">
        <w:trPr>
          <w:jc w:val="center"/>
        </w:trPr>
        <w:tc>
          <w:tcPr>
            <w:tcW w:w="2624" w:type="pct"/>
          </w:tcPr>
          <w:p w:rsidR="00F85A99" w:rsidRDefault="00F85A99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F85A99" w:rsidRPr="00390549" w:rsidRDefault="00F85A99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redőnyök)</w:t>
            </w:r>
          </w:p>
        </w:tc>
        <w:tc>
          <w:tcPr>
            <w:tcW w:w="870" w:type="pct"/>
          </w:tcPr>
          <w:p w:rsidR="00F85A99" w:rsidRPr="00390549" w:rsidRDefault="00F85A99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34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72" w:type="pct"/>
          </w:tcPr>
          <w:p w:rsidR="00F85A99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E70A2" w:rsidRPr="00390549" w:rsidTr="00FE70A2">
        <w:trPr>
          <w:jc w:val="center"/>
        </w:trPr>
        <w:tc>
          <w:tcPr>
            <w:tcW w:w="2624" w:type="pct"/>
          </w:tcPr>
          <w:p w:rsidR="00FE70A2" w:rsidRPr="003B2664" w:rsidRDefault="00FE70A2" w:rsidP="00AC58A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870" w:type="pct"/>
          </w:tcPr>
          <w:p w:rsidR="00FE70A2" w:rsidRPr="00390549" w:rsidRDefault="001472DF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734" w:type="pct"/>
          </w:tcPr>
          <w:p w:rsidR="00FE70A2" w:rsidRPr="00390549" w:rsidRDefault="00FE57E0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2" w:type="pct"/>
          </w:tcPr>
          <w:p w:rsidR="00FE70A2" w:rsidRPr="00390549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p w:rsidR="00B60D9D" w:rsidRPr="00390549" w:rsidRDefault="00B60D9D" w:rsidP="00B60D9D">
      <w:pPr>
        <w:spacing w:after="200" w:line="276" w:lineRule="auto"/>
        <w:ind w:left="1174" w:hanging="360"/>
        <w:contextualSpacing/>
        <w:rPr>
          <w:rFonts w:ascii="Times New Roman" w:hAnsi="Times New Roman" w:cs="Times New Roman"/>
          <w:i/>
          <w:szCs w:val="24"/>
        </w:rPr>
      </w:pPr>
    </w:p>
    <w:p w:rsidR="001C128D" w:rsidRPr="00390549" w:rsidRDefault="00732B54" w:rsidP="00487983">
      <w:pPr>
        <w:pStyle w:val="Cmsor1"/>
        <w:rPr>
          <w:rFonts w:ascii="Times New Roman" w:hAnsi="Times New Roman" w:cs="Times New Roman"/>
        </w:rPr>
      </w:pPr>
      <w:bookmarkStart w:id="9" w:name="_Toc477642416"/>
      <w:r w:rsidRPr="00390549">
        <w:rPr>
          <w:rFonts w:ascii="Times New Roman" w:hAnsi="Times New Roman" w:cs="Times New Roman"/>
        </w:rPr>
        <w:t>Megvalósított intézkedések</w:t>
      </w:r>
      <w:bookmarkEnd w:id="9"/>
      <w:r w:rsidR="00C146D9" w:rsidRPr="00390549">
        <w:rPr>
          <w:rFonts w:ascii="Times New Roman" w:hAnsi="Times New Roman" w:cs="Times New Roman"/>
        </w:rPr>
        <w:t xml:space="preserve"> </w:t>
      </w:r>
    </w:p>
    <w:p w:rsidR="00390549" w:rsidRDefault="00390549" w:rsidP="00EF3F8A">
      <w:pPr>
        <w:ind w:left="0"/>
        <w:rPr>
          <w:rFonts w:ascii="Times New Roman" w:hAnsi="Times New Roman" w:cs="Times New Roman"/>
        </w:rPr>
      </w:pPr>
    </w:p>
    <w:p w:rsidR="00390549" w:rsidRDefault="00FE70A2" w:rsidP="005829D3">
      <w:pPr>
        <w:ind w:left="0"/>
      </w:pPr>
      <w:r>
        <w:t>Az elmúlt öt évre vonatkozóan nem készült intézkedési terv.</w:t>
      </w:r>
      <w:r w:rsidR="00390549">
        <w:br w:type="page"/>
      </w:r>
    </w:p>
    <w:p w:rsidR="00DA3CBA" w:rsidRPr="00390549" w:rsidRDefault="0090210C" w:rsidP="00DA3CBA">
      <w:pPr>
        <w:pStyle w:val="Cmsor1"/>
        <w:rPr>
          <w:rFonts w:ascii="Times New Roman" w:hAnsi="Times New Roman" w:cs="Times New Roman"/>
        </w:rPr>
      </w:pPr>
      <w:bookmarkStart w:id="10" w:name="_Toc477642417"/>
      <w:r w:rsidRPr="00390549">
        <w:rPr>
          <w:rFonts w:ascii="Times New Roman" w:hAnsi="Times New Roman" w:cs="Times New Roman"/>
        </w:rPr>
        <w:t>Megvalósítandó intézkedések</w:t>
      </w:r>
      <w:r w:rsidR="00DA3CBA" w:rsidRPr="00390549">
        <w:rPr>
          <w:rFonts w:ascii="Times New Roman" w:hAnsi="Times New Roman" w:cs="Times New Roman"/>
        </w:rPr>
        <w:t xml:space="preserve"> meghatározása</w:t>
      </w:r>
      <w:bookmarkEnd w:id="10"/>
      <w:r w:rsidR="00DA3CBA" w:rsidRPr="00390549">
        <w:rPr>
          <w:rFonts w:ascii="Times New Roman" w:hAnsi="Times New Roman" w:cs="Times New Roman"/>
        </w:rPr>
        <w:t xml:space="preserve"> </w:t>
      </w: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 xml:space="preserve">Az energiahatékonyság növelése illetve a lehetőségek feltárása érdekében a meghatározott javaslatokat </w:t>
      </w:r>
      <w:r w:rsidR="007F7AAC" w:rsidRPr="003552CB">
        <w:rPr>
          <w:rFonts w:ascii="Times New Roman" w:hAnsi="Times New Roman" w:cs="Times New Roman"/>
        </w:rPr>
        <w:t xml:space="preserve">a </w:t>
      </w:r>
      <w:r w:rsidRPr="003552CB">
        <w:rPr>
          <w:rFonts w:ascii="Times New Roman" w:hAnsi="Times New Roman" w:cs="Times New Roman"/>
        </w:rPr>
        <w:t xml:space="preserve">megvalósítás tervezett időpontja szerint </w:t>
      </w:r>
      <w:r w:rsidR="005829D3">
        <w:rPr>
          <w:rFonts w:ascii="Times New Roman" w:hAnsi="Times New Roman" w:cs="Times New Roman"/>
        </w:rPr>
        <w:t>sorba rendeztük</w:t>
      </w:r>
      <w:r w:rsidRPr="003552CB">
        <w:rPr>
          <w:rFonts w:ascii="Times New Roman" w:hAnsi="Times New Roman" w:cs="Times New Roman"/>
        </w:rPr>
        <w:t>. M</w:t>
      </w:r>
      <w:r w:rsidR="005829D3">
        <w:rPr>
          <w:rFonts w:ascii="Times New Roman" w:hAnsi="Times New Roman" w:cs="Times New Roman"/>
        </w:rPr>
        <w:t>inden egyes javaslathoz felelős</w:t>
      </w:r>
      <w:r w:rsidR="007F7AAC" w:rsidRPr="003552CB">
        <w:rPr>
          <w:rFonts w:ascii="Times New Roman" w:hAnsi="Times New Roman" w:cs="Times New Roman"/>
        </w:rPr>
        <w:t>,</w:t>
      </w:r>
      <w:r w:rsidR="005829D3">
        <w:rPr>
          <w:rFonts w:ascii="Times New Roman" w:hAnsi="Times New Roman" w:cs="Times New Roman"/>
        </w:rPr>
        <w:t xml:space="preserve"> megvalósítási határidő</w:t>
      </w:r>
      <w:r w:rsidRPr="003552CB">
        <w:rPr>
          <w:rFonts w:ascii="Times New Roman" w:hAnsi="Times New Roman" w:cs="Times New Roman"/>
        </w:rPr>
        <w:t xml:space="preserve"> és becsült megtakarítási potenciált </w:t>
      </w:r>
      <w:r w:rsidR="005829D3">
        <w:rPr>
          <w:rFonts w:ascii="Times New Roman" w:hAnsi="Times New Roman" w:cs="Times New Roman"/>
        </w:rPr>
        <w:t>került hozzárendelésre</w:t>
      </w:r>
      <w:r w:rsidRPr="003552CB">
        <w:rPr>
          <w:rFonts w:ascii="Times New Roman" w:hAnsi="Times New Roman" w:cs="Times New Roman"/>
        </w:rPr>
        <w:t>.</w:t>
      </w:r>
    </w:p>
    <w:p w:rsidR="0073459B" w:rsidRPr="003552CB" w:rsidRDefault="0073459B" w:rsidP="00390549">
      <w:pPr>
        <w:ind w:left="0"/>
        <w:rPr>
          <w:rFonts w:ascii="Times New Roman" w:hAnsi="Times New Roman" w:cs="Times New Roman"/>
        </w:rPr>
      </w:pPr>
    </w:p>
    <w:p w:rsidR="00DA3CBA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 fejlesztési intézkedések megvalósítási sorrend</w:t>
      </w:r>
      <w:r w:rsidR="007F7AAC">
        <w:rPr>
          <w:rFonts w:ascii="Times New Roman" w:hAnsi="Times New Roman" w:cs="Times New Roman"/>
        </w:rPr>
        <w:t>jének kialakításakor</w:t>
      </w:r>
      <w:r w:rsidRPr="003552CB">
        <w:rPr>
          <w:rFonts w:ascii="Times New Roman" w:hAnsi="Times New Roman" w:cs="Times New Roman"/>
        </w:rPr>
        <w:t xml:space="preserve"> a rendelkezésre álló emberi és pénzügyi erőforrások mellett a műszaki szempontokat is figyelembe </w:t>
      </w:r>
      <w:r w:rsidR="00AC58A7">
        <w:rPr>
          <w:rFonts w:ascii="Times New Roman" w:hAnsi="Times New Roman" w:cs="Times New Roman"/>
        </w:rPr>
        <w:t>vettük</w:t>
      </w:r>
      <w:r w:rsidRPr="003552CB">
        <w:rPr>
          <w:rFonts w:ascii="Times New Roman" w:hAnsi="Times New Roman" w:cs="Times New Roman"/>
        </w:rPr>
        <w:t xml:space="preserve">. Az egymásra épülő intézkedések nem megfelelő megvalósítási sorrendje többletköltségeket eredményezhet. </w:t>
      </w: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CE7F45" w:rsidRPr="00E92CE3" w:rsidTr="00790CF6">
        <w:trPr>
          <w:jc w:val="center"/>
        </w:trPr>
        <w:tc>
          <w:tcPr>
            <w:tcW w:w="2482" w:type="pct"/>
          </w:tcPr>
          <w:p w:rsidR="00CE7F45" w:rsidRPr="00E92CE3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CE7F45" w:rsidRPr="00E92CE3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CE7F45" w:rsidRPr="00E92CE3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CE7F45" w:rsidRPr="00E92CE3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CE7F45" w:rsidRPr="00390549" w:rsidTr="00790CF6">
        <w:trPr>
          <w:jc w:val="center"/>
        </w:trPr>
        <w:tc>
          <w:tcPr>
            <w:tcW w:w="2482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2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CE7F45" w:rsidRDefault="00CE7F45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790CF6">
        <w:trPr>
          <w:jc w:val="center"/>
        </w:trPr>
        <w:tc>
          <w:tcPr>
            <w:tcW w:w="2482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i szezonban)</w:t>
            </w:r>
          </w:p>
        </w:tc>
        <w:tc>
          <w:tcPr>
            <w:tcW w:w="1190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2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CE7F45" w:rsidRDefault="00CE7F45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790CF6">
        <w:trPr>
          <w:jc w:val="center"/>
        </w:trPr>
        <w:tc>
          <w:tcPr>
            <w:tcW w:w="2482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CE7F45" w:rsidRDefault="00CE7F45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790CF6">
        <w:trPr>
          <w:jc w:val="center"/>
        </w:trPr>
        <w:tc>
          <w:tcPr>
            <w:tcW w:w="2482" w:type="pct"/>
          </w:tcPr>
          <w:p w:rsidR="00CE7F45" w:rsidRPr="00F85A99" w:rsidRDefault="00CE7F45" w:rsidP="00790CF6">
            <w:pPr>
              <w:pStyle w:val="Listaszerbekezds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i/>
                <w:iCs/>
                <w:szCs w:val="24"/>
              </w:rPr>
            </w:pPr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 felhasználói szokások megváltoztatása, felelősök kijelölése</w:t>
            </w:r>
          </w:p>
          <w:p w:rsidR="00CE7F45" w:rsidRPr="00F85A99" w:rsidRDefault="00CE7F45" w:rsidP="00790CF6">
            <w:pPr>
              <w:pStyle w:val="Listaszerbekezds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i/>
                <w:iCs/>
                <w:szCs w:val="24"/>
              </w:rPr>
            </w:pPr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CE7F45" w:rsidRPr="00F85A99" w:rsidRDefault="00CE7F45" w:rsidP="00790CF6">
            <w:pPr>
              <w:pStyle w:val="Listaszerbekezds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i/>
                <w:iCs/>
                <w:szCs w:val="24"/>
              </w:rPr>
            </w:pPr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CE7F45" w:rsidRPr="00F85A99" w:rsidRDefault="00CE7F45" w:rsidP="00790CF6">
            <w:pPr>
              <w:pStyle w:val="Listaszerbekezds"/>
              <w:numPr>
                <w:ilvl w:val="0"/>
                <w:numId w:val="32"/>
              </w:numPr>
              <w:ind w:left="284" w:hanging="284"/>
            </w:pPr>
            <w:proofErr w:type="spellStart"/>
            <w:r w:rsidRPr="00F85A99">
              <w:rPr>
                <w:rFonts w:ascii="Times New Roman" w:hAnsi="Times New Roman"/>
                <w:i/>
                <w:iCs/>
                <w:szCs w:val="24"/>
              </w:rPr>
              <w:t>energiamegtakarításra</w:t>
            </w:r>
            <w:proofErr w:type="spellEnd"/>
            <w:r w:rsidRPr="00F85A99">
              <w:rPr>
                <w:rFonts w:ascii="Times New Roman" w:hAnsi="Times New Roman"/>
                <w:i/>
                <w:iCs/>
                <w:szCs w:val="24"/>
              </w:rPr>
              <w:t xml:space="preserve"> vonatkozó dolgozói javaslatok támogatása, motiváció</w:t>
            </w:r>
            <w:r w:rsidRPr="00F85A99">
              <w:t xml:space="preserve"> </w:t>
            </w:r>
          </w:p>
        </w:tc>
        <w:tc>
          <w:tcPr>
            <w:tcW w:w="1190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CE7F45" w:rsidRDefault="00CE7F45" w:rsidP="00790CF6">
            <w:pPr>
              <w:ind w:left="0"/>
              <w:jc w:val="center"/>
            </w:pPr>
            <w:r w:rsidRPr="001C6331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790CF6">
        <w:trPr>
          <w:jc w:val="center"/>
        </w:trPr>
        <w:tc>
          <w:tcPr>
            <w:tcW w:w="2482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lekötött teljesítmények csökkentésének lehetőségei, szolgáltatói szerződések felülvizsgálata</w:t>
            </w:r>
          </w:p>
        </w:tc>
        <w:tc>
          <w:tcPr>
            <w:tcW w:w="1190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2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2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AC58A7" w:rsidRDefault="00AC58A7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00"/>
        <w:gridCol w:w="1910"/>
        <w:gridCol w:w="1016"/>
        <w:gridCol w:w="1016"/>
        <w:gridCol w:w="1146"/>
      </w:tblGrid>
      <w:tr w:rsidR="00CE7F45" w:rsidRPr="000714FE" w:rsidTr="00CE7F45">
        <w:trPr>
          <w:jc w:val="center"/>
        </w:trPr>
        <w:tc>
          <w:tcPr>
            <w:tcW w:w="2261" w:type="pct"/>
          </w:tcPr>
          <w:p w:rsidR="00CE7F45" w:rsidRPr="000714FE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028" w:type="pct"/>
          </w:tcPr>
          <w:p w:rsidR="00CE7F45" w:rsidRPr="000714FE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547" w:type="pct"/>
          </w:tcPr>
          <w:p w:rsidR="00CE7F45" w:rsidRPr="000714FE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547" w:type="pct"/>
          </w:tcPr>
          <w:p w:rsidR="00CE7F45" w:rsidRPr="000714FE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17" w:type="pct"/>
          </w:tcPr>
          <w:p w:rsidR="00CE7F45" w:rsidRPr="000714FE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390549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5-10%</w:t>
            </w:r>
          </w:p>
        </w:tc>
        <w:tc>
          <w:tcPr>
            <w:tcW w:w="547" w:type="pct"/>
          </w:tcPr>
          <w:p w:rsidR="00CE7F45" w:rsidRPr="00183BD6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80eFt</w:t>
            </w:r>
          </w:p>
        </w:tc>
        <w:tc>
          <w:tcPr>
            <w:tcW w:w="547" w:type="pct"/>
          </w:tcPr>
          <w:p w:rsidR="00CE7F45" w:rsidRPr="00183BD6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</w:tcPr>
          <w:p w:rsidR="00CE7F45" w:rsidRPr="00183BD6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Intézmény</w:t>
            </w:r>
          </w:p>
          <w:p w:rsidR="00CE7F45" w:rsidRPr="00183BD6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83BD6">
              <w:rPr>
                <w:rFonts w:ascii="Times New Roman" w:hAnsi="Times New Roman" w:cs="Times New Roman"/>
              </w:rPr>
              <w:t>üzemeltetés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6E4975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Műanyag </w:t>
            </w:r>
            <w:r w:rsidRPr="006E4975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huzatfogó kefe felszere</w:t>
            </w:r>
            <w:r>
              <w:rPr>
                <w:rFonts w:ascii="Times New Roman" w:hAnsi="Times New Roman"/>
                <w:i/>
                <w:szCs w:val="24"/>
              </w:rPr>
              <w:t>lése, ajtócsukó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,</w:t>
            </w:r>
            <w:r w:rsidRPr="006E4975">
              <w:rPr>
                <w:rFonts w:ascii="Times New Roman" w:hAnsi="Times New Roman"/>
                <w:i/>
                <w:szCs w:val="24"/>
              </w:rPr>
              <w:t>télen</w:t>
            </w:r>
            <w:proofErr w:type="gramEnd"/>
            <w:r w:rsidRPr="006E4975">
              <w:rPr>
                <w:rFonts w:ascii="Times New Roman" w:hAnsi="Times New Roman"/>
                <w:i/>
                <w:szCs w:val="24"/>
              </w:rPr>
              <w:t xml:space="preserve"> textilfüggöny felszerel</w:t>
            </w:r>
            <w:r>
              <w:rPr>
                <w:rFonts w:ascii="Times New Roman" w:hAnsi="Times New Roman"/>
                <w:i/>
                <w:szCs w:val="24"/>
              </w:rPr>
              <w:t>ése.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</w:tcPr>
          <w:p w:rsidR="00CE7F45" w:rsidRDefault="00CE7F45" w:rsidP="00790CF6">
            <w:pPr>
              <w:ind w:left="0"/>
              <w:jc w:val="center"/>
            </w:pPr>
            <w:r w:rsidRPr="00C255B4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6E4975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Fa Bejárati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ajtók  passzítása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, záródások javítása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</w:tcPr>
          <w:p w:rsidR="00CE7F45" w:rsidRDefault="00CE7F45" w:rsidP="00790CF6">
            <w:pPr>
              <w:ind w:left="0"/>
              <w:jc w:val="center"/>
            </w:pPr>
            <w:r w:rsidRPr="00C255B4"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(ahol nem készült)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A80B42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0B42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390549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Cs w:val="24"/>
              </w:rPr>
              <w:t>LEDes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 fénycsövekre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és lámpákra csere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54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85eFt</w:t>
            </w:r>
          </w:p>
        </w:tc>
        <w:tc>
          <w:tcPr>
            <w:tcW w:w="54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6E4975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6E4975">
              <w:rPr>
                <w:rFonts w:ascii="Times New Roman" w:hAnsi="Times New Roman"/>
                <w:i/>
                <w:szCs w:val="24"/>
              </w:rPr>
              <w:t>fűtési rendszer beszabályozása;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t</w:t>
            </w:r>
            <w:r w:rsidRPr="006E4975">
              <w:rPr>
                <w:rFonts w:ascii="Times New Roman" w:hAnsi="Times New Roman"/>
                <w:i/>
                <w:szCs w:val="24"/>
              </w:rPr>
              <w:t>ermo</w:t>
            </w:r>
            <w:r>
              <w:rPr>
                <w:rFonts w:ascii="Times New Roman" w:hAnsi="Times New Roman"/>
                <w:i/>
                <w:szCs w:val="24"/>
              </w:rPr>
              <w:t xml:space="preserve">sztatikus </w:t>
            </w:r>
            <w:r w:rsidRPr="006E4975">
              <w:rPr>
                <w:rFonts w:ascii="Times New Roman" w:hAnsi="Times New Roman"/>
                <w:i/>
                <w:szCs w:val="24"/>
              </w:rPr>
              <w:t xml:space="preserve"> szelepek</w:t>
            </w:r>
            <w:proofErr w:type="gramEnd"/>
            <w:r w:rsidRPr="006E4975">
              <w:rPr>
                <w:rFonts w:ascii="Times New Roman" w:hAnsi="Times New Roman"/>
                <w:i/>
                <w:szCs w:val="24"/>
              </w:rPr>
              <w:t xml:space="preserve"> a hiányzó   radiátorokra 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4C27B4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4C27B4">
              <w:rPr>
                <w:rFonts w:ascii="Times New Roman" w:hAnsi="Times New Roman"/>
                <w:i/>
                <w:szCs w:val="24"/>
              </w:rPr>
              <w:t>energiatakarékos berendezések (számítógépek, monitorok, hűtő, stb.) beszerzése, a meglévő berendezések használata során az energiatakarékos használatra való törekvés (</w:t>
            </w:r>
            <w:proofErr w:type="gramStart"/>
            <w:r w:rsidRPr="004C27B4">
              <w:rPr>
                <w:rFonts w:ascii="Times New Roman" w:hAnsi="Times New Roman"/>
                <w:i/>
                <w:szCs w:val="24"/>
              </w:rPr>
              <w:t>pl.  monitor</w:t>
            </w:r>
            <w:proofErr w:type="gramEnd"/>
            <w:r w:rsidRPr="004C27B4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E13E99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E99">
              <w:rPr>
                <w:rFonts w:ascii="Times New Roman" w:hAnsi="Times New Roman"/>
                <w:i/>
                <w:szCs w:val="24"/>
              </w:rPr>
      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nyereséget.</w:t>
            </w:r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  <w:tr w:rsidR="00CE7F45" w:rsidRPr="00390549" w:rsidTr="00CE7F45">
        <w:trPr>
          <w:jc w:val="center"/>
        </w:trPr>
        <w:tc>
          <w:tcPr>
            <w:tcW w:w="2261" w:type="pct"/>
          </w:tcPr>
          <w:p w:rsidR="00CE7F45" w:rsidRPr="006E4975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Gázkazán cseréje kondenzációsra a teljes fűtési rendszer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átmosásával .</w:t>
            </w:r>
            <w:proofErr w:type="gramEnd"/>
          </w:p>
        </w:tc>
        <w:tc>
          <w:tcPr>
            <w:tcW w:w="1028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650eFt</w:t>
            </w:r>
          </w:p>
        </w:tc>
        <w:tc>
          <w:tcPr>
            <w:tcW w:w="54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üzemeletetés</w:t>
            </w:r>
          </w:p>
        </w:tc>
      </w:tr>
    </w:tbl>
    <w:p w:rsidR="00AC58A7" w:rsidRDefault="00AC58A7" w:rsidP="00390549">
      <w:pPr>
        <w:ind w:left="0"/>
        <w:rPr>
          <w:rFonts w:ascii="Times New Roman" w:hAnsi="Times New Roman" w:cs="Times New Roman"/>
        </w:rPr>
      </w:pPr>
    </w:p>
    <w:p w:rsidR="00AC58A7" w:rsidRDefault="00AC58A7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p w:rsidR="00CE7F45" w:rsidRDefault="00CE7F45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66"/>
        <w:gridCol w:w="1150"/>
        <w:gridCol w:w="1006"/>
        <w:gridCol w:w="1229"/>
        <w:gridCol w:w="1025"/>
        <w:gridCol w:w="1346"/>
      </w:tblGrid>
      <w:tr w:rsidR="00AC58A7" w:rsidRPr="00390549" w:rsidTr="00AC58A7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AC58A7" w:rsidRPr="00390549" w:rsidTr="00AC58A7">
        <w:trPr>
          <w:jc w:val="center"/>
        </w:trPr>
        <w:tc>
          <w:tcPr>
            <w:tcW w:w="299" w:type="pct"/>
          </w:tcPr>
          <w:p w:rsidR="00AC58A7" w:rsidRPr="003B2664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AC58A7" w:rsidRPr="003B2664" w:rsidRDefault="00AC58A7" w:rsidP="00AC58A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13" w:type="pct"/>
          </w:tcPr>
          <w:p w:rsidR="00AC58A7" w:rsidRPr="00390549" w:rsidRDefault="00EC3934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536" w:type="pct"/>
          </w:tcPr>
          <w:p w:rsidR="00AC58A7" w:rsidRPr="00DC07F4" w:rsidRDefault="00AC58A7" w:rsidP="00F85A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F85A9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AC58A7" w:rsidRPr="00390549" w:rsidRDefault="00563FBA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6" w:type="pct"/>
          </w:tcPr>
          <w:p w:rsidR="00AC58A7" w:rsidRPr="00390549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58A7" w:rsidRPr="00390549" w:rsidTr="00AC58A7">
        <w:trPr>
          <w:jc w:val="center"/>
        </w:trPr>
        <w:tc>
          <w:tcPr>
            <w:tcW w:w="299" w:type="pct"/>
          </w:tcPr>
          <w:p w:rsidR="00AC58A7" w:rsidRPr="000200AF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AC58A7" w:rsidRDefault="00AC58A7" w:rsidP="00AC58A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AC58A7" w:rsidRPr="00390549" w:rsidRDefault="00AC58A7" w:rsidP="00AC58A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613" w:type="pct"/>
          </w:tcPr>
          <w:p w:rsidR="00AC58A7" w:rsidRPr="00390549" w:rsidRDefault="00EC3934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AC58A7" w:rsidRPr="00DC07F4" w:rsidRDefault="00F85A99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  <w:r w:rsidR="00AC58A7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C58A7" w:rsidRPr="00390549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58A7" w:rsidRPr="00390549" w:rsidTr="00AC58A7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Forrás esetében - pályázat, támogatás - megvalósítható beruházással járó intézkedések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CE7F45" w:rsidRPr="000D3E7F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13" w:type="pct"/>
          </w:tcPr>
          <w:p w:rsidR="00CE7F45" w:rsidRPr="00800B73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40 %</w:t>
            </w:r>
          </w:p>
        </w:tc>
        <w:tc>
          <w:tcPr>
            <w:tcW w:w="536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3,9 M Ft</w:t>
            </w:r>
          </w:p>
        </w:tc>
        <w:tc>
          <w:tcPr>
            <w:tcW w:w="655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CE7F45" w:rsidRPr="00843A18" w:rsidRDefault="00CE7F45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13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36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2,5MFt</w:t>
            </w:r>
          </w:p>
        </w:tc>
        <w:tc>
          <w:tcPr>
            <w:tcW w:w="655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Fűtési rendszer korszerűsítése Épület fűtéskorszerűsítése I.</w:t>
            </w:r>
          </w:p>
          <w:p w:rsidR="00CE7F45" w:rsidRPr="00843A18" w:rsidRDefault="00CE7F45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613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36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1,5MFt</w:t>
            </w:r>
          </w:p>
        </w:tc>
        <w:tc>
          <w:tcPr>
            <w:tcW w:w="655" w:type="pct"/>
          </w:tcPr>
          <w:p w:rsidR="00CE7F45" w:rsidRPr="0099245C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245C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magastető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CE7F45" w:rsidRPr="00390549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613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CE7F45" w:rsidRPr="00DC07F4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655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padlásfödém hőszigetelése</w:t>
            </w:r>
          </w:p>
          <w:p w:rsidR="00CE7F45" w:rsidRPr="00390549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(100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kőzetgyapot)</w:t>
            </w:r>
          </w:p>
        </w:tc>
        <w:tc>
          <w:tcPr>
            <w:tcW w:w="613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10 %</w:t>
            </w:r>
          </w:p>
        </w:tc>
        <w:tc>
          <w:tcPr>
            <w:tcW w:w="536" w:type="pct"/>
          </w:tcPr>
          <w:p w:rsidR="00CE7F45" w:rsidRPr="00DC07F4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 M Ft</w:t>
            </w:r>
          </w:p>
        </w:tc>
        <w:tc>
          <w:tcPr>
            <w:tcW w:w="655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trHeight w:val="660"/>
          <w:jc w:val="center"/>
        </w:trPr>
        <w:tc>
          <w:tcPr>
            <w:tcW w:w="299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E7324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CE7F45" w:rsidRPr="00843A18" w:rsidRDefault="00CE7F45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13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36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4,2 M Ft</w:t>
            </w:r>
          </w:p>
        </w:tc>
        <w:tc>
          <w:tcPr>
            <w:tcW w:w="655" w:type="pct"/>
          </w:tcPr>
          <w:p w:rsidR="00CE7F45" w:rsidRPr="00E7324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73242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Pr="001A4C9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1A4C9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CE7F45" w:rsidRPr="00390549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5 kW rendszer telepítése)</w:t>
            </w:r>
          </w:p>
        </w:tc>
        <w:tc>
          <w:tcPr>
            <w:tcW w:w="613" w:type="pct"/>
          </w:tcPr>
          <w:p w:rsidR="00CE7F45" w:rsidRPr="007037AA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50 %</w:t>
            </w:r>
          </w:p>
        </w:tc>
        <w:tc>
          <w:tcPr>
            <w:tcW w:w="536" w:type="pct"/>
          </w:tcPr>
          <w:p w:rsidR="00CE7F45" w:rsidRPr="00DC07F4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655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F45" w:rsidRPr="00390549" w:rsidTr="00AC58A7">
        <w:trPr>
          <w:jc w:val="center"/>
        </w:trPr>
        <w:tc>
          <w:tcPr>
            <w:tcW w:w="299" w:type="pct"/>
          </w:tcPr>
          <w:p w:rsidR="00CE7F45" w:rsidRPr="001A4C92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Pr="001A4C9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34" w:type="pct"/>
          </w:tcPr>
          <w:p w:rsidR="00CE7F45" w:rsidRDefault="00CE7F45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CE7F45" w:rsidRPr="00390549" w:rsidRDefault="00CE7F45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13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0,1 </w:t>
            </w:r>
          </w:p>
          <w:p w:rsidR="00CE7F45" w:rsidRPr="005067D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CE7F45" w:rsidRPr="00DC07F4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655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CE7F45" w:rsidRPr="00390549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E7F45" w:rsidRDefault="00CE7F45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A3CBA" w:rsidRPr="00CE7F45" w:rsidRDefault="00DA3CBA" w:rsidP="00AC58A7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DA3CBA" w:rsidRPr="00390549" w:rsidRDefault="00E96B04" w:rsidP="00DA3CBA">
      <w:pPr>
        <w:pStyle w:val="Cmsor1"/>
        <w:rPr>
          <w:rFonts w:ascii="Times New Roman" w:hAnsi="Times New Roman" w:cs="Times New Roman"/>
        </w:rPr>
      </w:pPr>
      <w:bookmarkStart w:id="11" w:name="_Toc477642418"/>
      <w:r w:rsidRPr="00390549">
        <w:rPr>
          <w:rFonts w:ascii="Times New Roman" w:hAnsi="Times New Roman" w:cs="Times New Roman"/>
        </w:rPr>
        <w:t>A végrehajtás n</w:t>
      </w:r>
      <w:r w:rsidR="00DA3CBA" w:rsidRPr="00390549">
        <w:rPr>
          <w:rFonts w:ascii="Times New Roman" w:hAnsi="Times New Roman" w:cs="Times New Roman"/>
        </w:rPr>
        <w:t>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="00DA3CBA" w:rsidRPr="00390549">
        <w:rPr>
          <w:rFonts w:ascii="Times New Roman" w:hAnsi="Times New Roman" w:cs="Times New Roman"/>
        </w:rPr>
        <w:t>követés</w:t>
      </w:r>
      <w:r w:rsidRPr="00390549">
        <w:rPr>
          <w:rFonts w:ascii="Times New Roman" w:hAnsi="Times New Roman" w:cs="Times New Roman"/>
        </w:rPr>
        <w:t>e</w:t>
      </w:r>
      <w:bookmarkEnd w:id="11"/>
    </w:p>
    <w:p w:rsidR="00985A4F" w:rsidRPr="00390549" w:rsidRDefault="00AC58A7" w:rsidP="00EF3F8A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tervben foglaltak végrehajtását minden év február 28-ig felül kell vizsgálni.  </w:t>
      </w:r>
      <w:r w:rsidR="00FE70A2">
        <w:rPr>
          <w:rFonts w:ascii="Times New Roman" w:hAnsi="Times New Roman" w:cs="Times New Roman"/>
        </w:rPr>
        <w:t>Az energiafogyasztási adatokat (számlákat) havonta ellenőrizni szükséges, az esetlegesen felmerülő meghibásodások mielőbbi megszűntetése érdekében.</w:t>
      </w:r>
      <w:r w:rsidR="00FE70A2" w:rsidRPr="00390549">
        <w:rPr>
          <w:rFonts w:ascii="Times New Roman" w:hAnsi="Times New Roman" w:cs="Times New Roman"/>
        </w:rPr>
        <w:t xml:space="preserve"> </w:t>
      </w:r>
    </w:p>
    <w:sectPr w:rsidR="00985A4F" w:rsidRPr="00390549" w:rsidSect="00310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BD" w:rsidRDefault="00B545BD" w:rsidP="005C7E1A">
      <w:r>
        <w:separator/>
      </w:r>
    </w:p>
  </w:endnote>
  <w:endnote w:type="continuationSeparator" w:id="0">
    <w:p w:rsidR="00B545BD" w:rsidRDefault="00B545BD" w:rsidP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BD" w:rsidRPr="00390549" w:rsidRDefault="00B545BD" w:rsidP="009F6B48">
    <w:pPr>
      <w:pBdr>
        <w:top w:val="single" w:sz="4" w:space="1" w:color="auto"/>
      </w:pBdr>
      <w:tabs>
        <w:tab w:val="left" w:pos="9072"/>
      </w:tabs>
      <w:ind w:left="0"/>
      <w:jc w:val="center"/>
      <w:rPr>
        <w:rFonts w:ascii="Times New Roman" w:hAnsi="Times New Roman" w:cs="Times New Roman"/>
      </w:rPr>
    </w:pP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begin"/>
    </w:r>
    <w:r w:rsidRPr="00390549">
      <w:rPr>
        <w:rFonts w:ascii="Times New Roman" w:hAnsi="Times New Roman" w:cs="Times New Roman"/>
        <w:color w:val="0F243E" w:themeColor="text2" w:themeShade="80"/>
        <w:szCs w:val="26"/>
      </w:rPr>
      <w:instrText>PAGE  \* Arabic  \* MERGEFORMAT</w:instrTex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separate"/>
    </w:r>
    <w:r w:rsidR="00161C13">
      <w:rPr>
        <w:rFonts w:ascii="Times New Roman" w:hAnsi="Times New Roman" w:cs="Times New Roman"/>
        <w:noProof/>
        <w:color w:val="0F243E" w:themeColor="text2" w:themeShade="80"/>
        <w:szCs w:val="26"/>
      </w:rPr>
      <w:t>13</w: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BD" w:rsidRDefault="00B545BD" w:rsidP="005C7E1A">
      <w:r>
        <w:separator/>
      </w:r>
    </w:p>
  </w:footnote>
  <w:footnote w:type="continuationSeparator" w:id="0">
    <w:p w:rsidR="00B545BD" w:rsidRDefault="00B545BD" w:rsidP="005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BD" w:rsidRPr="00390549" w:rsidRDefault="00B545BD" w:rsidP="00390549">
    <w:pPr>
      <w:pStyle w:val="lfej"/>
      <w:pBdr>
        <w:bottom w:val="single" w:sz="4" w:space="1" w:color="auto"/>
      </w:pBdr>
      <w:tabs>
        <w:tab w:val="clear" w:pos="4536"/>
        <w:tab w:val="center" w:pos="4111"/>
      </w:tabs>
      <w:ind w:left="0"/>
      <w:jc w:val="center"/>
      <w:rPr>
        <w:rFonts w:ascii="Times New Roman" w:hAnsi="Times New Roman" w:cs="Times New Roman"/>
        <w:sz w:val="22"/>
      </w:rPr>
    </w:pPr>
    <w:r w:rsidRPr="00AC0980">
      <w:rPr>
        <w:rFonts w:ascii="Times New Roman" w:hAnsi="Times New Roman" w:cs="Times New Roman"/>
      </w:rPr>
      <w:t>Esély Szociális Társulás Szociális és Gyermekjóléti Központ Gyermekjóléti Szolgálat</w:t>
    </w:r>
    <w:r>
      <w:rPr>
        <w:rFonts w:ascii="Times New Roman" w:hAnsi="Times New Roman" w:cs="Times New Roman"/>
      </w:rPr>
      <w:t xml:space="preserve"> </w:t>
    </w:r>
    <w:r w:rsidRPr="00390549">
      <w:rPr>
        <w:rFonts w:ascii="Times New Roman" w:hAnsi="Times New Roman" w:cs="Times New Roman"/>
        <w:sz w:val="22"/>
      </w:rPr>
      <w:t>Energiamegtakarítási intézkedési terv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4D2"/>
    <w:multiLevelType w:val="hybridMultilevel"/>
    <w:tmpl w:val="E6AA878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6970DD"/>
    <w:multiLevelType w:val="hybridMultilevel"/>
    <w:tmpl w:val="5650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B39"/>
    <w:multiLevelType w:val="hybridMultilevel"/>
    <w:tmpl w:val="35DCA0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4EE21B4"/>
    <w:multiLevelType w:val="multilevel"/>
    <w:tmpl w:val="0C00BD9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Theme="minorHAnsi" w:eastAsiaTheme="minorHAnsi" w:hAnsiTheme="minorHAnsi" w:cstheme="minorBidi"/>
        <w:color w:val="365F91" w:themeColor="accent1" w:themeShade="BF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msor3"/>
      <w:lvlText w:val="%1.%2.%3"/>
      <w:lvlJc w:val="left"/>
      <w:pPr>
        <w:ind w:left="86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D7B08"/>
    <w:multiLevelType w:val="hybridMultilevel"/>
    <w:tmpl w:val="CFA0A80E"/>
    <w:lvl w:ilvl="0" w:tplc="E982A4DA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42D0E29"/>
    <w:multiLevelType w:val="hybridMultilevel"/>
    <w:tmpl w:val="EA7A0924"/>
    <w:lvl w:ilvl="0" w:tplc="BD6A33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6A339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E66"/>
    <w:multiLevelType w:val="hybridMultilevel"/>
    <w:tmpl w:val="4F40D00E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2F8368BE"/>
    <w:multiLevelType w:val="hybridMultilevel"/>
    <w:tmpl w:val="3368807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FC40A2A"/>
    <w:multiLevelType w:val="hybridMultilevel"/>
    <w:tmpl w:val="25D261F4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6463AC"/>
    <w:multiLevelType w:val="hybridMultilevel"/>
    <w:tmpl w:val="056694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CE05515"/>
    <w:multiLevelType w:val="hybridMultilevel"/>
    <w:tmpl w:val="7F92884A"/>
    <w:lvl w:ilvl="0" w:tplc="AD482422">
      <w:start w:val="2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7655"/>
    <w:multiLevelType w:val="hybridMultilevel"/>
    <w:tmpl w:val="6742EFF4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3" w15:restartNumberingAfterBreak="0">
    <w:nsid w:val="68FF3B0A"/>
    <w:multiLevelType w:val="hybridMultilevel"/>
    <w:tmpl w:val="5BBCB9FC"/>
    <w:lvl w:ilvl="0" w:tplc="F7564D6A">
      <w:start w:val="1"/>
      <w:numFmt w:val="bullet"/>
      <w:pStyle w:val="Listaszerbekezds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A976198"/>
    <w:multiLevelType w:val="hybridMultilevel"/>
    <w:tmpl w:val="D2FC9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886"/>
    <w:multiLevelType w:val="multilevel"/>
    <w:tmpl w:val="5318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EC7B83"/>
    <w:multiLevelType w:val="hybridMultilevel"/>
    <w:tmpl w:val="4E4AFE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66F47B9"/>
    <w:multiLevelType w:val="hybridMultilevel"/>
    <w:tmpl w:val="890AD7B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17"/>
  </w:num>
  <w:num w:numId="6">
    <w:abstractNumId w:val="1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13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2"/>
  </w:num>
  <w:num w:numId="19">
    <w:abstractNumId w:val="13"/>
  </w:num>
  <w:num w:numId="20">
    <w:abstractNumId w:val="5"/>
  </w:num>
  <w:num w:numId="21">
    <w:abstractNumId w:val="4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4"/>
  </w:num>
  <w:num w:numId="27">
    <w:abstractNumId w:val="4"/>
  </w:num>
  <w:num w:numId="28">
    <w:abstractNumId w:val="13"/>
  </w:num>
  <w:num w:numId="29">
    <w:abstractNumId w:val="13"/>
  </w:num>
  <w:num w:numId="30">
    <w:abstractNumId w:val="14"/>
  </w:num>
  <w:num w:numId="31">
    <w:abstractNumId w:val="4"/>
    <w:lvlOverride w:ilvl="0">
      <w:startOverride w:val="1"/>
    </w:lvlOverride>
  </w:num>
  <w:num w:numId="3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01"/>
    <w:rsid w:val="000031EF"/>
    <w:rsid w:val="000132C8"/>
    <w:rsid w:val="00014C80"/>
    <w:rsid w:val="000161C9"/>
    <w:rsid w:val="000241F6"/>
    <w:rsid w:val="000421CF"/>
    <w:rsid w:val="0006446E"/>
    <w:rsid w:val="00064A73"/>
    <w:rsid w:val="000654E4"/>
    <w:rsid w:val="00073D55"/>
    <w:rsid w:val="0007653C"/>
    <w:rsid w:val="0008085E"/>
    <w:rsid w:val="000851E4"/>
    <w:rsid w:val="000B00B9"/>
    <w:rsid w:val="000B21F3"/>
    <w:rsid w:val="000C2770"/>
    <w:rsid w:val="000D0930"/>
    <w:rsid w:val="000D107C"/>
    <w:rsid w:val="000D3AD1"/>
    <w:rsid w:val="000E4826"/>
    <w:rsid w:val="000E705F"/>
    <w:rsid w:val="00126565"/>
    <w:rsid w:val="00137277"/>
    <w:rsid w:val="001472DF"/>
    <w:rsid w:val="001517DF"/>
    <w:rsid w:val="00153BAA"/>
    <w:rsid w:val="0015500D"/>
    <w:rsid w:val="00161C13"/>
    <w:rsid w:val="00164183"/>
    <w:rsid w:val="001642B0"/>
    <w:rsid w:val="00175A9D"/>
    <w:rsid w:val="001923B7"/>
    <w:rsid w:val="00192E78"/>
    <w:rsid w:val="001A1CEA"/>
    <w:rsid w:val="001B5532"/>
    <w:rsid w:val="001C128D"/>
    <w:rsid w:val="001C532B"/>
    <w:rsid w:val="001D1E00"/>
    <w:rsid w:val="001E7A9D"/>
    <w:rsid w:val="001F3336"/>
    <w:rsid w:val="002110F5"/>
    <w:rsid w:val="00214F26"/>
    <w:rsid w:val="00230638"/>
    <w:rsid w:val="00234FEB"/>
    <w:rsid w:val="00237B33"/>
    <w:rsid w:val="002407BE"/>
    <w:rsid w:val="00265892"/>
    <w:rsid w:val="00284A10"/>
    <w:rsid w:val="00287CF2"/>
    <w:rsid w:val="002A38EE"/>
    <w:rsid w:val="002A512F"/>
    <w:rsid w:val="002B158B"/>
    <w:rsid w:val="002B7BAC"/>
    <w:rsid w:val="002C1E1B"/>
    <w:rsid w:val="002C706A"/>
    <w:rsid w:val="002E1F67"/>
    <w:rsid w:val="002E6695"/>
    <w:rsid w:val="002F3C2D"/>
    <w:rsid w:val="00302950"/>
    <w:rsid w:val="003060E4"/>
    <w:rsid w:val="0031066B"/>
    <w:rsid w:val="00321C30"/>
    <w:rsid w:val="00323497"/>
    <w:rsid w:val="00323D98"/>
    <w:rsid w:val="003351BD"/>
    <w:rsid w:val="003552CB"/>
    <w:rsid w:val="003818ED"/>
    <w:rsid w:val="00384748"/>
    <w:rsid w:val="00390549"/>
    <w:rsid w:val="00393262"/>
    <w:rsid w:val="003977D4"/>
    <w:rsid w:val="003A1A8B"/>
    <w:rsid w:val="003D2B52"/>
    <w:rsid w:val="003D7634"/>
    <w:rsid w:val="00401948"/>
    <w:rsid w:val="00402270"/>
    <w:rsid w:val="00404558"/>
    <w:rsid w:val="004157BD"/>
    <w:rsid w:val="00420B31"/>
    <w:rsid w:val="00425470"/>
    <w:rsid w:val="00425E5F"/>
    <w:rsid w:val="00432719"/>
    <w:rsid w:val="00434772"/>
    <w:rsid w:val="00434BE3"/>
    <w:rsid w:val="00434C96"/>
    <w:rsid w:val="00447049"/>
    <w:rsid w:val="00460A52"/>
    <w:rsid w:val="00467466"/>
    <w:rsid w:val="00472BD0"/>
    <w:rsid w:val="00477794"/>
    <w:rsid w:val="00487903"/>
    <w:rsid w:val="00487983"/>
    <w:rsid w:val="004906BD"/>
    <w:rsid w:val="004D026C"/>
    <w:rsid w:val="004D14EA"/>
    <w:rsid w:val="004D4325"/>
    <w:rsid w:val="004E071B"/>
    <w:rsid w:val="004E1E5B"/>
    <w:rsid w:val="004E2AF7"/>
    <w:rsid w:val="004E32A4"/>
    <w:rsid w:val="004E529C"/>
    <w:rsid w:val="005144C3"/>
    <w:rsid w:val="00534EA1"/>
    <w:rsid w:val="005422D0"/>
    <w:rsid w:val="00542609"/>
    <w:rsid w:val="005451C7"/>
    <w:rsid w:val="00551915"/>
    <w:rsid w:val="00560620"/>
    <w:rsid w:val="005616E4"/>
    <w:rsid w:val="00563FBA"/>
    <w:rsid w:val="005829D3"/>
    <w:rsid w:val="005851F2"/>
    <w:rsid w:val="005C155D"/>
    <w:rsid w:val="005C1F29"/>
    <w:rsid w:val="005C7B85"/>
    <w:rsid w:val="005C7E1A"/>
    <w:rsid w:val="005D7FA2"/>
    <w:rsid w:val="005E0DC3"/>
    <w:rsid w:val="005E4589"/>
    <w:rsid w:val="005E55A4"/>
    <w:rsid w:val="005E55EE"/>
    <w:rsid w:val="005F1C10"/>
    <w:rsid w:val="005F22CE"/>
    <w:rsid w:val="005F4431"/>
    <w:rsid w:val="005F7701"/>
    <w:rsid w:val="006155CA"/>
    <w:rsid w:val="00615AD7"/>
    <w:rsid w:val="0062089B"/>
    <w:rsid w:val="00654D78"/>
    <w:rsid w:val="00670786"/>
    <w:rsid w:val="00670798"/>
    <w:rsid w:val="006723A9"/>
    <w:rsid w:val="00686A12"/>
    <w:rsid w:val="006931EC"/>
    <w:rsid w:val="0069474E"/>
    <w:rsid w:val="006A5E19"/>
    <w:rsid w:val="006B4C90"/>
    <w:rsid w:val="006B551F"/>
    <w:rsid w:val="006C4AAC"/>
    <w:rsid w:val="006F2AF2"/>
    <w:rsid w:val="006F5586"/>
    <w:rsid w:val="006F5A10"/>
    <w:rsid w:val="00703428"/>
    <w:rsid w:val="00705B5F"/>
    <w:rsid w:val="0071074A"/>
    <w:rsid w:val="00730A9A"/>
    <w:rsid w:val="00732B54"/>
    <w:rsid w:val="0073459B"/>
    <w:rsid w:val="007416E1"/>
    <w:rsid w:val="00746752"/>
    <w:rsid w:val="0075634A"/>
    <w:rsid w:val="00780704"/>
    <w:rsid w:val="007860FD"/>
    <w:rsid w:val="00793DD6"/>
    <w:rsid w:val="007A181A"/>
    <w:rsid w:val="007A52C4"/>
    <w:rsid w:val="007C006C"/>
    <w:rsid w:val="007C5023"/>
    <w:rsid w:val="007D2207"/>
    <w:rsid w:val="007F7AAC"/>
    <w:rsid w:val="00801D00"/>
    <w:rsid w:val="00807837"/>
    <w:rsid w:val="008171E0"/>
    <w:rsid w:val="00825904"/>
    <w:rsid w:val="00834A61"/>
    <w:rsid w:val="0084198F"/>
    <w:rsid w:val="0084573C"/>
    <w:rsid w:val="00863C6F"/>
    <w:rsid w:val="008745CB"/>
    <w:rsid w:val="008979FC"/>
    <w:rsid w:val="008B044D"/>
    <w:rsid w:val="008C3D93"/>
    <w:rsid w:val="008D5E50"/>
    <w:rsid w:val="008F01BD"/>
    <w:rsid w:val="00901E56"/>
    <w:rsid w:val="0090210C"/>
    <w:rsid w:val="00904A21"/>
    <w:rsid w:val="00907749"/>
    <w:rsid w:val="009121FA"/>
    <w:rsid w:val="009126FE"/>
    <w:rsid w:val="00923394"/>
    <w:rsid w:val="00926F37"/>
    <w:rsid w:val="00930584"/>
    <w:rsid w:val="00930C46"/>
    <w:rsid w:val="00962D76"/>
    <w:rsid w:val="00964E1A"/>
    <w:rsid w:val="00973A60"/>
    <w:rsid w:val="00981F4E"/>
    <w:rsid w:val="00985754"/>
    <w:rsid w:val="00985A4F"/>
    <w:rsid w:val="00986885"/>
    <w:rsid w:val="00990D0E"/>
    <w:rsid w:val="009A06D7"/>
    <w:rsid w:val="009A271B"/>
    <w:rsid w:val="009B259A"/>
    <w:rsid w:val="009C41BB"/>
    <w:rsid w:val="009F3CF2"/>
    <w:rsid w:val="009F6B48"/>
    <w:rsid w:val="00A06E33"/>
    <w:rsid w:val="00A12364"/>
    <w:rsid w:val="00A16A2B"/>
    <w:rsid w:val="00A17945"/>
    <w:rsid w:val="00A204A3"/>
    <w:rsid w:val="00A20827"/>
    <w:rsid w:val="00A24275"/>
    <w:rsid w:val="00A27BCF"/>
    <w:rsid w:val="00A3331E"/>
    <w:rsid w:val="00A34C1A"/>
    <w:rsid w:val="00A42EE1"/>
    <w:rsid w:val="00A4625C"/>
    <w:rsid w:val="00A6014E"/>
    <w:rsid w:val="00A61967"/>
    <w:rsid w:val="00A62392"/>
    <w:rsid w:val="00A7045D"/>
    <w:rsid w:val="00A70B0E"/>
    <w:rsid w:val="00A81AA5"/>
    <w:rsid w:val="00A917F0"/>
    <w:rsid w:val="00A927DA"/>
    <w:rsid w:val="00A93A02"/>
    <w:rsid w:val="00A976F1"/>
    <w:rsid w:val="00AB1C1C"/>
    <w:rsid w:val="00AB7A08"/>
    <w:rsid w:val="00AC0980"/>
    <w:rsid w:val="00AC17AB"/>
    <w:rsid w:val="00AC438A"/>
    <w:rsid w:val="00AC58A7"/>
    <w:rsid w:val="00AC709F"/>
    <w:rsid w:val="00AE7217"/>
    <w:rsid w:val="00AF1C2E"/>
    <w:rsid w:val="00B2771E"/>
    <w:rsid w:val="00B370D2"/>
    <w:rsid w:val="00B51E1C"/>
    <w:rsid w:val="00B545BD"/>
    <w:rsid w:val="00B60D9D"/>
    <w:rsid w:val="00B62B2A"/>
    <w:rsid w:val="00B65086"/>
    <w:rsid w:val="00B67F31"/>
    <w:rsid w:val="00B82038"/>
    <w:rsid w:val="00B83E46"/>
    <w:rsid w:val="00B9432C"/>
    <w:rsid w:val="00BB7F62"/>
    <w:rsid w:val="00BC4B95"/>
    <w:rsid w:val="00BD318B"/>
    <w:rsid w:val="00BD502F"/>
    <w:rsid w:val="00BE1F98"/>
    <w:rsid w:val="00C13045"/>
    <w:rsid w:val="00C146D9"/>
    <w:rsid w:val="00C215CF"/>
    <w:rsid w:val="00C242D9"/>
    <w:rsid w:val="00C33414"/>
    <w:rsid w:val="00C506B5"/>
    <w:rsid w:val="00C5499A"/>
    <w:rsid w:val="00C648C1"/>
    <w:rsid w:val="00C66CA2"/>
    <w:rsid w:val="00C70FD6"/>
    <w:rsid w:val="00C76AB9"/>
    <w:rsid w:val="00C80EBC"/>
    <w:rsid w:val="00C90C0B"/>
    <w:rsid w:val="00C97985"/>
    <w:rsid w:val="00CA05F7"/>
    <w:rsid w:val="00CA1CFC"/>
    <w:rsid w:val="00CA7D00"/>
    <w:rsid w:val="00CB72B8"/>
    <w:rsid w:val="00CD5C60"/>
    <w:rsid w:val="00CE2C2D"/>
    <w:rsid w:val="00CE4173"/>
    <w:rsid w:val="00CE43B3"/>
    <w:rsid w:val="00CE4B5F"/>
    <w:rsid w:val="00CE6024"/>
    <w:rsid w:val="00CE6272"/>
    <w:rsid w:val="00CE7F45"/>
    <w:rsid w:val="00CF0812"/>
    <w:rsid w:val="00CF101E"/>
    <w:rsid w:val="00CF5292"/>
    <w:rsid w:val="00CF6E1A"/>
    <w:rsid w:val="00D063AD"/>
    <w:rsid w:val="00D54F24"/>
    <w:rsid w:val="00D76219"/>
    <w:rsid w:val="00D84A08"/>
    <w:rsid w:val="00D84C08"/>
    <w:rsid w:val="00D87922"/>
    <w:rsid w:val="00D9434B"/>
    <w:rsid w:val="00DA3CBA"/>
    <w:rsid w:val="00DA4882"/>
    <w:rsid w:val="00E005F1"/>
    <w:rsid w:val="00E054EF"/>
    <w:rsid w:val="00E071DA"/>
    <w:rsid w:val="00E2365E"/>
    <w:rsid w:val="00E2482E"/>
    <w:rsid w:val="00E316FF"/>
    <w:rsid w:val="00E3397D"/>
    <w:rsid w:val="00E5432F"/>
    <w:rsid w:val="00E54561"/>
    <w:rsid w:val="00E557B5"/>
    <w:rsid w:val="00E950AF"/>
    <w:rsid w:val="00E96AE4"/>
    <w:rsid w:val="00E96B04"/>
    <w:rsid w:val="00EA6083"/>
    <w:rsid w:val="00EB0146"/>
    <w:rsid w:val="00EB71B1"/>
    <w:rsid w:val="00EC3934"/>
    <w:rsid w:val="00EC4262"/>
    <w:rsid w:val="00EF262B"/>
    <w:rsid w:val="00EF3F8A"/>
    <w:rsid w:val="00F01A81"/>
    <w:rsid w:val="00F17E5D"/>
    <w:rsid w:val="00F245D5"/>
    <w:rsid w:val="00F26985"/>
    <w:rsid w:val="00F351E8"/>
    <w:rsid w:val="00F46FDA"/>
    <w:rsid w:val="00F643A2"/>
    <w:rsid w:val="00F644D5"/>
    <w:rsid w:val="00F734B9"/>
    <w:rsid w:val="00F85A99"/>
    <w:rsid w:val="00F8661A"/>
    <w:rsid w:val="00FA0DC8"/>
    <w:rsid w:val="00FA48A9"/>
    <w:rsid w:val="00FA4C24"/>
    <w:rsid w:val="00FC14C3"/>
    <w:rsid w:val="00FC49AA"/>
    <w:rsid w:val="00FC71EC"/>
    <w:rsid w:val="00FD4357"/>
    <w:rsid w:val="00FD53CC"/>
    <w:rsid w:val="00FD75CB"/>
    <w:rsid w:val="00FE57E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0ED8D3-059A-43BD-A415-897E037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  <w:style w:type="table" w:customStyle="1" w:styleId="Rcsostblzat2">
    <w:name w:val="Rácsos táblázat2"/>
    <w:basedOn w:val="Normltblzat"/>
    <w:next w:val="Rcsostblzat"/>
    <w:uiPriority w:val="39"/>
    <w:rsid w:val="00C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2C51-7323-459A-A47B-795F0137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2713</Words>
  <Characters>18724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21395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Benkovics Gábor</cp:lastModifiedBy>
  <cp:revision>4</cp:revision>
  <cp:lastPrinted>2017-03-16T13:55:00Z</cp:lastPrinted>
  <dcterms:created xsi:type="dcterms:W3CDTF">2017-03-18T21:45:00Z</dcterms:created>
  <dcterms:modified xsi:type="dcterms:W3CDTF">2017-03-19T10:11:00Z</dcterms:modified>
</cp:coreProperties>
</file>